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A2" w:rsidRDefault="009373C7" w:rsidP="00095A0C">
      <w:pPr>
        <w:pStyle w:val="Heading1"/>
        <w:tabs>
          <w:tab w:val="left" w:pos="180"/>
          <w:tab w:val="left" w:pos="1800"/>
        </w:tabs>
        <w:jc w:val="center"/>
        <w:rPr>
          <w:rFonts w:ascii="Arial" w:hAnsi="Arial" w:cs="Arial"/>
          <w:sz w:val="32"/>
          <w:szCs w:val="32"/>
        </w:rPr>
      </w:pPr>
      <w:r>
        <w:rPr>
          <w:rFonts w:ascii="Arial" w:hAnsi="Arial" w:cs="Arial"/>
          <w:noProof/>
          <w:snapToGrid/>
          <w:sz w:val="28"/>
          <w:szCs w:val="28"/>
        </w:rPr>
        <w:drawing>
          <wp:anchor distT="0" distB="0" distL="114300" distR="114300" simplePos="0" relativeHeight="251659264" behindDoc="0" locked="0" layoutInCell="1" allowOverlap="1" wp14:anchorId="272FB0BA" wp14:editId="6B9BA669">
            <wp:simplePos x="0" y="0"/>
            <wp:positionH relativeFrom="column">
              <wp:posOffset>-114300</wp:posOffset>
            </wp:positionH>
            <wp:positionV relativeFrom="paragraph">
              <wp:posOffset>-57785</wp:posOffset>
            </wp:positionV>
            <wp:extent cx="1200150" cy="530416"/>
            <wp:effectExtent l="0" t="0" r="0" b="3175"/>
            <wp:wrapNone/>
            <wp:docPr id="2" name="Picture 2"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LogoRectangleCOLOR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30416"/>
                    </a:xfrm>
                    <a:prstGeom prst="rect">
                      <a:avLst/>
                    </a:prstGeom>
                    <a:noFill/>
                  </pic:spPr>
                </pic:pic>
              </a:graphicData>
            </a:graphic>
            <wp14:sizeRelH relativeFrom="page">
              <wp14:pctWidth>0</wp14:pctWidth>
            </wp14:sizeRelH>
            <wp14:sizeRelV relativeFrom="page">
              <wp14:pctHeight>0</wp14:pctHeight>
            </wp14:sizeRelV>
          </wp:anchor>
        </w:drawing>
      </w:r>
    </w:p>
    <w:p w:rsidR="00DF1EA2" w:rsidRDefault="00DF1EA2" w:rsidP="00823C9A">
      <w:pPr>
        <w:pStyle w:val="Heading1"/>
        <w:tabs>
          <w:tab w:val="left" w:pos="1800"/>
        </w:tabs>
        <w:jc w:val="center"/>
        <w:rPr>
          <w:rFonts w:ascii="Arial" w:hAnsi="Arial" w:cs="Arial"/>
          <w:sz w:val="32"/>
          <w:szCs w:val="32"/>
        </w:rPr>
      </w:pPr>
    </w:p>
    <w:p w:rsidR="00CC072A" w:rsidRDefault="00CC072A" w:rsidP="00823C9A">
      <w:pPr>
        <w:pStyle w:val="Heading1"/>
        <w:tabs>
          <w:tab w:val="left" w:pos="1800"/>
        </w:tabs>
        <w:jc w:val="center"/>
        <w:rPr>
          <w:rFonts w:ascii="Arial" w:hAnsi="Arial" w:cs="Arial"/>
          <w:sz w:val="32"/>
          <w:szCs w:val="32"/>
        </w:rPr>
      </w:pPr>
      <w:r w:rsidRPr="00747E14">
        <w:rPr>
          <w:rFonts w:ascii="Arial" w:hAnsi="Arial" w:cs="Arial"/>
          <w:sz w:val="32"/>
          <w:szCs w:val="32"/>
        </w:rPr>
        <w:t>General Permit</w:t>
      </w:r>
      <w:r w:rsidRPr="00253318">
        <w:rPr>
          <w:rFonts w:ascii="Arial" w:hAnsi="Arial" w:cs="Arial"/>
          <w:sz w:val="32"/>
          <w:szCs w:val="32"/>
        </w:rPr>
        <w:t xml:space="preserve"> for Discharge</w:t>
      </w:r>
      <w:r w:rsidRPr="00414CF8">
        <w:rPr>
          <w:rFonts w:ascii="Arial" w:hAnsi="Arial" w:cs="Arial"/>
          <w:sz w:val="32"/>
          <w:szCs w:val="32"/>
        </w:rPr>
        <w:t xml:space="preserve">s </w:t>
      </w:r>
      <w:r w:rsidRPr="00747E14">
        <w:rPr>
          <w:rFonts w:ascii="Arial" w:hAnsi="Arial" w:cs="Arial"/>
          <w:sz w:val="32"/>
          <w:szCs w:val="32"/>
        </w:rPr>
        <w:t xml:space="preserve">from </w:t>
      </w:r>
      <w:r w:rsidR="00F14A94" w:rsidRPr="00414CF8">
        <w:rPr>
          <w:rFonts w:ascii="Arial" w:hAnsi="Arial" w:cs="Arial"/>
          <w:sz w:val="32"/>
          <w:szCs w:val="32"/>
        </w:rPr>
        <w:t>Miscellaneous</w:t>
      </w:r>
      <w:r w:rsidR="00F14A94" w:rsidRPr="00747E14">
        <w:rPr>
          <w:rFonts w:ascii="Arial" w:hAnsi="Arial" w:cs="Arial"/>
          <w:sz w:val="32"/>
          <w:szCs w:val="32"/>
        </w:rPr>
        <w:t xml:space="preserve"> </w:t>
      </w:r>
      <w:r w:rsidRPr="00747E14">
        <w:rPr>
          <w:rFonts w:ascii="Arial" w:hAnsi="Arial" w:cs="Arial"/>
          <w:sz w:val="32"/>
          <w:szCs w:val="32"/>
        </w:rPr>
        <w:t xml:space="preserve">Industrial Users </w:t>
      </w:r>
      <w:r w:rsidRPr="00253318">
        <w:rPr>
          <w:rFonts w:ascii="Arial" w:hAnsi="Arial" w:cs="Arial"/>
          <w:sz w:val="32"/>
          <w:szCs w:val="32"/>
        </w:rPr>
        <w:t>(</w:t>
      </w:r>
      <w:hyperlink r:id="rId8" w:history="1">
        <w:r w:rsidRPr="00F03645">
          <w:rPr>
            <w:rStyle w:val="Hyperlink"/>
            <w:rFonts w:ascii="Arial" w:hAnsi="Arial" w:cs="Arial"/>
            <w:sz w:val="32"/>
            <w:szCs w:val="32"/>
          </w:rPr>
          <w:t>MIU GP</w:t>
        </w:r>
      </w:hyperlink>
      <w:r w:rsidRPr="00253318">
        <w:rPr>
          <w:rFonts w:ascii="Arial" w:hAnsi="Arial" w:cs="Arial"/>
          <w:sz w:val="32"/>
          <w:szCs w:val="32"/>
        </w:rPr>
        <w:t>)</w:t>
      </w:r>
      <w:r>
        <w:rPr>
          <w:rFonts w:ascii="Arial" w:hAnsi="Arial" w:cs="Arial"/>
          <w:sz w:val="24"/>
          <w:szCs w:val="24"/>
        </w:rPr>
        <w:t xml:space="preserve"> </w:t>
      </w:r>
    </w:p>
    <w:p w:rsidR="00CC072A" w:rsidRDefault="00DA42AB" w:rsidP="0055104F">
      <w:pPr>
        <w:pStyle w:val="Heading1"/>
        <w:tabs>
          <w:tab w:val="left" w:pos="1800"/>
        </w:tabs>
        <w:spacing w:before="240"/>
        <w:jc w:val="center"/>
        <w:rPr>
          <w:rFonts w:ascii="Arial" w:hAnsi="Arial" w:cs="Arial"/>
          <w:sz w:val="32"/>
          <w:szCs w:val="32"/>
        </w:rPr>
      </w:pPr>
      <w:r>
        <w:rPr>
          <w:rFonts w:ascii="Arial" w:hAnsi="Arial" w:cs="Arial"/>
          <w:i/>
          <w:color w:val="00B0F0"/>
          <w:sz w:val="32"/>
          <w:szCs w:val="32"/>
        </w:rPr>
        <w:t xml:space="preserve">Instructions for </w:t>
      </w:r>
      <w:r w:rsidR="00F03645">
        <w:rPr>
          <w:rFonts w:ascii="Arial" w:hAnsi="Arial" w:cs="Arial"/>
          <w:sz w:val="32"/>
          <w:szCs w:val="32"/>
        </w:rPr>
        <w:t xml:space="preserve">ATTACHMENT </w:t>
      </w:r>
      <w:r w:rsidR="00F14A94">
        <w:rPr>
          <w:rFonts w:ascii="Arial" w:hAnsi="Arial" w:cs="Arial"/>
          <w:sz w:val="32"/>
          <w:szCs w:val="32"/>
        </w:rPr>
        <w:t>B</w:t>
      </w:r>
      <w:r w:rsidR="00CC072A">
        <w:rPr>
          <w:rFonts w:ascii="Arial" w:hAnsi="Arial" w:cs="Arial"/>
          <w:sz w:val="32"/>
          <w:szCs w:val="32"/>
        </w:rPr>
        <w:t xml:space="preserve"> to Notification Form</w:t>
      </w:r>
    </w:p>
    <w:p w:rsidR="001445ED" w:rsidRDefault="00CC072A" w:rsidP="00CC072A">
      <w:pPr>
        <w:tabs>
          <w:tab w:val="left" w:pos="0"/>
          <w:tab w:val="left" w:pos="2430"/>
          <w:tab w:val="left" w:pos="4322"/>
          <w:tab w:val="left" w:pos="5402"/>
        </w:tabs>
        <w:spacing w:after="120"/>
        <w:jc w:val="center"/>
        <w:rPr>
          <w:rFonts w:ascii="Arial" w:eastAsia="Calibri" w:hAnsi="Arial" w:cs="Arial"/>
          <w:b/>
          <w:snapToGrid/>
          <w:szCs w:val="24"/>
        </w:rPr>
      </w:pPr>
      <w:r>
        <w:rPr>
          <w:rFonts w:ascii="Arial" w:eastAsia="Calibri" w:hAnsi="Arial" w:cs="Arial"/>
          <w:b/>
          <w:snapToGrid/>
          <w:szCs w:val="24"/>
        </w:rPr>
        <w:t>(</w:t>
      </w:r>
      <w:r w:rsidR="001445ED" w:rsidRPr="00384A87">
        <w:rPr>
          <w:rFonts w:ascii="Arial" w:eastAsia="Calibri" w:hAnsi="Arial" w:cs="Arial"/>
          <w:b/>
          <w:snapToGrid/>
          <w:szCs w:val="24"/>
        </w:rPr>
        <w:t>Qualified Professional Certification</w:t>
      </w:r>
      <w:r>
        <w:rPr>
          <w:rFonts w:ascii="Arial" w:eastAsia="Calibri" w:hAnsi="Arial" w:cs="Arial"/>
          <w:b/>
          <w:snapToGrid/>
          <w:szCs w:val="24"/>
        </w:rPr>
        <w:t>)</w:t>
      </w:r>
    </w:p>
    <w:p w:rsidR="009373C7" w:rsidRDefault="009373C7" w:rsidP="00CC072A">
      <w:pPr>
        <w:tabs>
          <w:tab w:val="left" w:pos="0"/>
          <w:tab w:val="left" w:pos="2430"/>
          <w:tab w:val="left" w:pos="4322"/>
          <w:tab w:val="left" w:pos="5402"/>
        </w:tabs>
        <w:spacing w:after="120"/>
        <w:jc w:val="center"/>
        <w:rPr>
          <w:rFonts w:ascii="Arial" w:eastAsia="Calibri" w:hAnsi="Arial" w:cs="Arial"/>
          <w:b/>
          <w:snapToGrid/>
          <w:szCs w:val="24"/>
        </w:rPr>
      </w:pPr>
    </w:p>
    <w:p w:rsidR="00DA42AB" w:rsidRPr="00D42C31" w:rsidRDefault="00DA42AB" w:rsidP="00D42C31">
      <w:pPr>
        <w:tabs>
          <w:tab w:val="left" w:pos="0"/>
          <w:tab w:val="left" w:pos="2430"/>
          <w:tab w:val="left" w:pos="4322"/>
          <w:tab w:val="left" w:pos="5402"/>
        </w:tabs>
        <w:spacing w:after="120"/>
        <w:rPr>
          <w:rFonts w:ascii="Arial" w:eastAsia="Calibri" w:hAnsi="Arial" w:cs="Arial"/>
          <w:i/>
          <w:snapToGrid/>
          <w:color w:val="00B0F0"/>
          <w:szCs w:val="24"/>
        </w:rPr>
      </w:pPr>
      <w:r w:rsidRPr="00D42C31">
        <w:rPr>
          <w:rFonts w:ascii="Arial" w:eastAsia="Calibri" w:hAnsi="Arial" w:cs="Arial"/>
          <w:i/>
          <w:snapToGrid/>
          <w:color w:val="00B0F0"/>
          <w:szCs w:val="24"/>
        </w:rPr>
        <w:t>Section 4(c)(3</w:t>
      </w:r>
      <w:r w:rsidR="009373C7" w:rsidRPr="00D42C31">
        <w:rPr>
          <w:rFonts w:ascii="Arial" w:eastAsia="Calibri" w:hAnsi="Arial" w:cs="Arial"/>
          <w:i/>
          <w:snapToGrid/>
          <w:color w:val="00B0F0"/>
          <w:szCs w:val="24"/>
        </w:rPr>
        <w:t>)</w:t>
      </w:r>
      <w:r w:rsidRPr="00D42C31">
        <w:rPr>
          <w:rFonts w:ascii="Arial" w:eastAsia="Calibri" w:hAnsi="Arial" w:cs="Arial"/>
          <w:i/>
          <w:snapToGrid/>
          <w:color w:val="00B0F0"/>
          <w:szCs w:val="24"/>
        </w:rPr>
        <w:t>(B)</w:t>
      </w:r>
      <w:r w:rsidR="009373C7" w:rsidRPr="00D42C31">
        <w:rPr>
          <w:rFonts w:ascii="Arial" w:eastAsia="Calibri" w:hAnsi="Arial" w:cs="Arial"/>
          <w:i/>
          <w:snapToGrid/>
          <w:color w:val="00B0F0"/>
          <w:szCs w:val="24"/>
        </w:rPr>
        <w:t>(</w:t>
      </w:r>
      <w:proofErr w:type="spellStart"/>
      <w:r w:rsidR="009373C7" w:rsidRPr="00D42C31">
        <w:rPr>
          <w:rFonts w:ascii="Arial" w:eastAsia="Calibri" w:hAnsi="Arial" w:cs="Arial"/>
          <w:i/>
          <w:snapToGrid/>
          <w:color w:val="00B0F0"/>
          <w:szCs w:val="24"/>
        </w:rPr>
        <w:t>i</w:t>
      </w:r>
      <w:proofErr w:type="spellEnd"/>
      <w:r w:rsidR="009373C7" w:rsidRPr="00D42C31">
        <w:rPr>
          <w:rFonts w:ascii="Arial" w:eastAsia="Calibri" w:hAnsi="Arial" w:cs="Arial"/>
          <w:i/>
          <w:snapToGrid/>
          <w:color w:val="00B0F0"/>
          <w:szCs w:val="24"/>
        </w:rPr>
        <w:t>)</w:t>
      </w:r>
      <w:r w:rsidRPr="00D42C31">
        <w:rPr>
          <w:rFonts w:ascii="Arial" w:eastAsia="Calibri" w:hAnsi="Arial" w:cs="Arial"/>
          <w:i/>
          <w:snapToGrid/>
          <w:color w:val="00B0F0"/>
          <w:szCs w:val="24"/>
        </w:rPr>
        <w:t xml:space="preserve"> of the MIU GP</w:t>
      </w:r>
      <w:r w:rsidR="009373C7" w:rsidRPr="00D42C31">
        <w:rPr>
          <w:rFonts w:ascii="Arial" w:eastAsia="Calibri" w:hAnsi="Arial" w:cs="Arial"/>
          <w:i/>
          <w:snapToGrid/>
          <w:color w:val="00B0F0"/>
          <w:szCs w:val="24"/>
        </w:rPr>
        <w:t xml:space="preserve"> provides the conditions for when a notification under the MIU GP must include a certification by a Qualified Professional.  This section states:</w:t>
      </w:r>
    </w:p>
    <w:p w:rsidR="009373C7" w:rsidRPr="00523BD6" w:rsidRDefault="009373C7" w:rsidP="00D42C31">
      <w:pPr>
        <w:tabs>
          <w:tab w:val="left" w:pos="-720"/>
          <w:tab w:val="left" w:pos="0"/>
          <w:tab w:val="left" w:pos="1170"/>
          <w:tab w:val="left" w:pos="1620"/>
          <w:tab w:val="left" w:pos="2520"/>
          <w:tab w:val="left" w:pos="3422"/>
          <w:tab w:val="left" w:pos="3690"/>
          <w:tab w:val="left" w:pos="5760"/>
        </w:tabs>
        <w:ind w:left="2520" w:hanging="180"/>
        <w:rPr>
          <w:b/>
          <w:snapToGrid/>
        </w:rPr>
      </w:pPr>
      <w:r>
        <w:rPr>
          <w:szCs w:val="24"/>
        </w:rPr>
        <w:t>(</w:t>
      </w:r>
      <w:proofErr w:type="spellStart"/>
      <w:r>
        <w:rPr>
          <w:szCs w:val="24"/>
        </w:rPr>
        <w:t>i</w:t>
      </w:r>
      <w:proofErr w:type="spellEnd"/>
      <w:r>
        <w:rPr>
          <w:szCs w:val="24"/>
        </w:rPr>
        <w:t>) Industrial Users that discharge:</w:t>
      </w:r>
    </w:p>
    <w:p w:rsidR="009373C7" w:rsidRDefault="009373C7" w:rsidP="009373C7">
      <w:pPr>
        <w:tabs>
          <w:tab w:val="left" w:pos="-720"/>
          <w:tab w:val="left" w:pos="0"/>
          <w:tab w:val="left" w:pos="1170"/>
          <w:tab w:val="left" w:pos="1620"/>
          <w:tab w:val="left" w:pos="2880"/>
          <w:tab w:val="left" w:pos="3422"/>
          <w:tab w:val="left" w:pos="3690"/>
          <w:tab w:val="left" w:pos="5760"/>
        </w:tabs>
        <w:ind w:left="2880" w:hanging="540"/>
        <w:rPr>
          <w:szCs w:val="24"/>
        </w:rPr>
      </w:pPr>
    </w:p>
    <w:p w:rsidR="009373C7" w:rsidRDefault="009373C7" w:rsidP="00D42C31">
      <w:pPr>
        <w:tabs>
          <w:tab w:val="left" w:pos="-720"/>
          <w:tab w:val="left" w:pos="0"/>
          <w:tab w:val="left" w:pos="1170"/>
          <w:tab w:val="left" w:pos="1620"/>
          <w:tab w:val="left" w:pos="2880"/>
          <w:tab w:val="left" w:pos="3510"/>
          <w:tab w:val="left" w:pos="5760"/>
        </w:tabs>
        <w:ind w:left="2970" w:hanging="360"/>
        <w:rPr>
          <w:szCs w:val="24"/>
        </w:rPr>
      </w:pPr>
      <w:r>
        <w:rPr>
          <w:szCs w:val="24"/>
        </w:rPr>
        <w:t xml:space="preserve">(a) Group I process wastewater with a maximum daily flow </w:t>
      </w:r>
      <w:r w:rsidRPr="00801806">
        <w:rPr>
          <w:szCs w:val="24"/>
          <w:u w:val="single"/>
        </w:rPr>
        <w:t>&gt;</w:t>
      </w:r>
      <w:r w:rsidRPr="00D42C31">
        <w:rPr>
          <w:szCs w:val="24"/>
        </w:rPr>
        <w:t xml:space="preserve"> 1000 </w:t>
      </w:r>
      <w:proofErr w:type="spellStart"/>
      <w:r w:rsidRPr="00D42C31">
        <w:rPr>
          <w:szCs w:val="24"/>
        </w:rPr>
        <w:t>gpd</w:t>
      </w:r>
      <w:proofErr w:type="spellEnd"/>
      <w:r w:rsidRPr="00D42C31">
        <w:rPr>
          <w:szCs w:val="24"/>
        </w:rPr>
        <w:t xml:space="preserve"> but less than 25,000 </w:t>
      </w:r>
      <w:proofErr w:type="spellStart"/>
      <w:r w:rsidRPr="00D42C31">
        <w:rPr>
          <w:szCs w:val="24"/>
        </w:rPr>
        <w:t>gpd</w:t>
      </w:r>
      <w:proofErr w:type="spellEnd"/>
      <w:r w:rsidRPr="00D42C31">
        <w:rPr>
          <w:szCs w:val="24"/>
        </w:rPr>
        <w:t>, and the process wastewater</w:t>
      </w:r>
      <w:r w:rsidR="00B300CD">
        <w:rPr>
          <w:szCs w:val="24"/>
        </w:rPr>
        <w:t xml:space="preserve"> </w:t>
      </w:r>
      <w:r>
        <w:rPr>
          <w:szCs w:val="24"/>
        </w:rPr>
        <w:t>requires</w:t>
      </w:r>
      <w:r w:rsidRPr="00494BC6">
        <w:rPr>
          <w:szCs w:val="24"/>
        </w:rPr>
        <w:t xml:space="preserve"> treatment to meet effluent limitations</w:t>
      </w:r>
      <w:r>
        <w:rPr>
          <w:szCs w:val="24"/>
        </w:rPr>
        <w:t xml:space="preserve">, or </w:t>
      </w:r>
    </w:p>
    <w:p w:rsidR="00B300CD" w:rsidRPr="00D42C31" w:rsidRDefault="00B300CD" w:rsidP="00D42C31">
      <w:pPr>
        <w:tabs>
          <w:tab w:val="left" w:pos="-720"/>
          <w:tab w:val="left" w:pos="0"/>
          <w:tab w:val="left" w:pos="1170"/>
          <w:tab w:val="left" w:pos="1620"/>
          <w:tab w:val="left" w:pos="2880"/>
          <w:tab w:val="left" w:pos="3510"/>
          <w:tab w:val="left" w:pos="5760"/>
        </w:tabs>
        <w:ind w:left="2970"/>
        <w:rPr>
          <w:rFonts w:ascii="Arial" w:hAnsi="Arial" w:cs="Arial"/>
          <w:i/>
          <w:color w:val="00B0F0"/>
          <w:szCs w:val="24"/>
        </w:rPr>
      </w:pPr>
      <w:r w:rsidRPr="00D42C31">
        <w:rPr>
          <w:rFonts w:ascii="Arial" w:hAnsi="Arial" w:cs="Arial"/>
          <w:i/>
          <w:color w:val="00B0F0"/>
          <w:szCs w:val="24"/>
        </w:rPr>
        <w:t>The key term</w:t>
      </w:r>
      <w:r>
        <w:rPr>
          <w:rFonts w:ascii="Arial" w:hAnsi="Arial" w:cs="Arial"/>
          <w:i/>
          <w:color w:val="00B0F0"/>
          <w:szCs w:val="24"/>
        </w:rPr>
        <w:t xml:space="preserve"> in the above paragraph is “treatment” which is defined</w:t>
      </w:r>
      <w:r w:rsidR="00D4271D">
        <w:rPr>
          <w:rFonts w:ascii="Arial" w:hAnsi="Arial" w:cs="Arial"/>
          <w:i/>
          <w:color w:val="00B0F0"/>
          <w:szCs w:val="24"/>
        </w:rPr>
        <w:t xml:space="preserve"> in Appendix A of the MIU GP as “</w:t>
      </w:r>
      <w:r w:rsidR="00D4271D" w:rsidRPr="00D42C31">
        <w:rPr>
          <w:rFonts w:ascii="Arial" w:hAnsi="Arial" w:cs="Arial"/>
          <w:i/>
          <w:color w:val="00B0F0"/>
        </w:rPr>
        <w:t>means to improve the chemical, physical or biological quality of a waste or wastewater discharge, including pretreatment prior to discharging to a POTW.</w:t>
      </w:r>
      <w:r w:rsidR="00D4271D">
        <w:rPr>
          <w:rFonts w:ascii="Arial" w:hAnsi="Arial" w:cs="Arial"/>
          <w:i/>
          <w:color w:val="00B0F0"/>
        </w:rPr>
        <w:t>”</w:t>
      </w:r>
    </w:p>
    <w:p w:rsidR="009373C7" w:rsidRDefault="009373C7" w:rsidP="009373C7">
      <w:pPr>
        <w:tabs>
          <w:tab w:val="left" w:pos="-720"/>
          <w:tab w:val="left" w:pos="0"/>
          <w:tab w:val="left" w:pos="1170"/>
          <w:tab w:val="left" w:pos="1620"/>
          <w:tab w:val="left" w:pos="2880"/>
          <w:tab w:val="left" w:pos="3510"/>
          <w:tab w:val="left" w:pos="5760"/>
        </w:tabs>
        <w:ind w:left="3420" w:hanging="270"/>
        <w:rPr>
          <w:szCs w:val="24"/>
        </w:rPr>
      </w:pPr>
    </w:p>
    <w:p w:rsidR="009373C7" w:rsidRDefault="009373C7" w:rsidP="00D42C31">
      <w:pPr>
        <w:tabs>
          <w:tab w:val="left" w:pos="-720"/>
          <w:tab w:val="left" w:pos="0"/>
          <w:tab w:val="left" w:pos="1170"/>
          <w:tab w:val="left" w:pos="1620"/>
          <w:tab w:val="left" w:pos="2880"/>
          <w:tab w:val="left" w:pos="3510"/>
          <w:tab w:val="left" w:pos="5760"/>
        </w:tabs>
        <w:ind w:left="2970" w:hanging="360"/>
        <w:rPr>
          <w:szCs w:val="24"/>
        </w:rPr>
      </w:pPr>
      <w:r>
        <w:rPr>
          <w:szCs w:val="24"/>
        </w:rPr>
        <w:t xml:space="preserve">(b) any flow of vehicle maintenance wastewater (excluding discharges previously permitted by DEEP, discharges from small volume </w:t>
      </w:r>
      <w:proofErr w:type="spellStart"/>
      <w:r>
        <w:rPr>
          <w:szCs w:val="24"/>
        </w:rPr>
        <w:t>autobody</w:t>
      </w:r>
      <w:proofErr w:type="spellEnd"/>
      <w:r>
        <w:rPr>
          <w:szCs w:val="24"/>
        </w:rPr>
        <w:t xml:space="preserve"> repair facilities, or discharges from small volume vehicle detailing facilities), </w:t>
      </w:r>
    </w:p>
    <w:p w:rsidR="009373C7" w:rsidRDefault="009373C7" w:rsidP="009373C7">
      <w:pPr>
        <w:tabs>
          <w:tab w:val="left" w:pos="-720"/>
          <w:tab w:val="left" w:pos="0"/>
          <w:tab w:val="left" w:pos="1170"/>
          <w:tab w:val="left" w:pos="1620"/>
          <w:tab w:val="left" w:pos="2880"/>
          <w:tab w:val="left" w:pos="3150"/>
          <w:tab w:val="left" w:pos="3330"/>
          <w:tab w:val="left" w:pos="5760"/>
        </w:tabs>
      </w:pPr>
    </w:p>
    <w:p w:rsidR="009373C7" w:rsidRDefault="009373C7" w:rsidP="00D42C31">
      <w:pPr>
        <w:tabs>
          <w:tab w:val="left" w:pos="-720"/>
          <w:tab w:val="left" w:pos="0"/>
          <w:tab w:val="left" w:pos="1170"/>
          <w:tab w:val="left" w:pos="1620"/>
          <w:tab w:val="left" w:pos="2340"/>
          <w:tab w:val="left" w:pos="3422"/>
          <w:tab w:val="left" w:pos="3690"/>
          <w:tab w:val="left" w:pos="5760"/>
        </w:tabs>
        <w:ind w:left="2610"/>
      </w:pPr>
      <w:proofErr w:type="gramStart"/>
      <w:r>
        <w:t>shall</w:t>
      </w:r>
      <w:proofErr w:type="gramEnd"/>
      <w:r>
        <w:t xml:space="preserve"> obtain a certification by a Qualified Professional Engineer or Qualified Certified Hazardous Materials Manager that complies with Section 3(b)(15) of this general permit. </w:t>
      </w:r>
      <w:r>
        <w:rPr>
          <w:szCs w:val="24"/>
        </w:rPr>
        <w:t xml:space="preserve"> </w:t>
      </w:r>
      <w:r w:rsidRPr="00C61E05">
        <w:t>(Qualified Certified Hazardous Materials Managers may</w:t>
      </w:r>
      <w:r>
        <w:t xml:space="preserve"> only certify</w:t>
      </w:r>
      <w:r w:rsidRPr="00C61E05">
        <w:t xml:space="preserve"> pre-engineered </w:t>
      </w:r>
      <w:r>
        <w:t xml:space="preserve">treatment systems.  Examples of pre-engineered treatment systems include photographic wastewater </w:t>
      </w:r>
      <w:r w:rsidRPr="00C61E05">
        <w:t>silver recovery systems</w:t>
      </w:r>
      <w:r>
        <w:t>, and</w:t>
      </w:r>
      <w:r w:rsidRPr="00C61E05">
        <w:t xml:space="preserve"> pre-engineered oil/wate</w:t>
      </w:r>
      <w:r>
        <w:t>r separators.</w:t>
      </w:r>
      <w:r w:rsidRPr="00C61E05">
        <w:t>)</w:t>
      </w:r>
    </w:p>
    <w:p w:rsidR="009373C7" w:rsidRPr="00D42C31" w:rsidRDefault="009373C7" w:rsidP="009373C7">
      <w:pPr>
        <w:tabs>
          <w:tab w:val="left" w:pos="-720"/>
          <w:tab w:val="left" w:pos="0"/>
          <w:tab w:val="left" w:pos="1170"/>
          <w:tab w:val="left" w:pos="1620"/>
          <w:tab w:val="left" w:pos="2340"/>
          <w:tab w:val="left" w:pos="3422"/>
          <w:tab w:val="left" w:pos="3690"/>
          <w:tab w:val="left" w:pos="5760"/>
        </w:tabs>
        <w:ind w:left="2880"/>
        <w:rPr>
          <w:i/>
          <w:color w:val="00B0F0"/>
        </w:rPr>
      </w:pPr>
    </w:p>
    <w:p w:rsidR="009373C7" w:rsidRPr="00D42C31" w:rsidRDefault="009373C7" w:rsidP="00D42C31">
      <w:pPr>
        <w:tabs>
          <w:tab w:val="left" w:pos="-720"/>
          <w:tab w:val="left" w:pos="0"/>
          <w:tab w:val="left" w:pos="1170"/>
          <w:tab w:val="left" w:pos="1440"/>
          <w:tab w:val="left" w:pos="1620"/>
          <w:tab w:val="left" w:pos="2340"/>
          <w:tab w:val="left" w:pos="3422"/>
          <w:tab w:val="left" w:pos="3690"/>
          <w:tab w:val="left" w:pos="5760"/>
        </w:tabs>
        <w:rPr>
          <w:rFonts w:ascii="Arial" w:hAnsi="Arial" w:cs="Arial"/>
          <w:i/>
          <w:color w:val="00B0F0"/>
          <w:szCs w:val="24"/>
        </w:rPr>
      </w:pPr>
      <w:r w:rsidRPr="00D42C31">
        <w:rPr>
          <w:rFonts w:ascii="Arial" w:hAnsi="Arial" w:cs="Arial"/>
          <w:i/>
          <w:color w:val="00B0F0"/>
        </w:rPr>
        <w:t>However, Section 4(c</w:t>
      </w:r>
      <w:proofErr w:type="gramStart"/>
      <w:r w:rsidRPr="00D42C31">
        <w:rPr>
          <w:rFonts w:ascii="Arial" w:hAnsi="Arial" w:cs="Arial"/>
          <w:i/>
          <w:color w:val="00B0F0"/>
        </w:rPr>
        <w:t>)(</w:t>
      </w:r>
      <w:proofErr w:type="gramEnd"/>
      <w:r w:rsidRPr="00D42C31">
        <w:rPr>
          <w:rFonts w:ascii="Arial" w:hAnsi="Arial" w:cs="Arial"/>
          <w:i/>
          <w:color w:val="00B0F0"/>
        </w:rPr>
        <w:t>3)(B)(ii) of the MIU GP provides an alternative</w:t>
      </w:r>
      <w:r w:rsidR="00A455FB" w:rsidRPr="00D42C31">
        <w:rPr>
          <w:rFonts w:ascii="Arial" w:hAnsi="Arial" w:cs="Arial"/>
          <w:i/>
          <w:color w:val="00B0F0"/>
        </w:rPr>
        <w:t xml:space="preserve"> route where certification by a Qualified Professional is not necessary.  This section states:</w:t>
      </w:r>
    </w:p>
    <w:p w:rsidR="009373C7" w:rsidRDefault="009373C7" w:rsidP="009373C7">
      <w:pPr>
        <w:tabs>
          <w:tab w:val="left" w:pos="-720"/>
          <w:tab w:val="left" w:pos="0"/>
          <w:tab w:val="left" w:pos="1170"/>
          <w:tab w:val="left" w:pos="1620"/>
          <w:tab w:val="left" w:pos="2880"/>
          <w:tab w:val="left" w:pos="3422"/>
          <w:tab w:val="left" w:pos="3690"/>
          <w:tab w:val="left" w:pos="5760"/>
        </w:tabs>
      </w:pPr>
    </w:p>
    <w:p w:rsidR="009373C7" w:rsidRDefault="009373C7" w:rsidP="00D42C31">
      <w:pPr>
        <w:tabs>
          <w:tab w:val="left" w:pos="-720"/>
          <w:tab w:val="left" w:pos="0"/>
          <w:tab w:val="left" w:pos="1170"/>
          <w:tab w:val="left" w:pos="1620"/>
          <w:tab w:val="left" w:pos="2520"/>
          <w:tab w:val="left" w:pos="3330"/>
          <w:tab w:val="left" w:pos="3690"/>
          <w:tab w:val="left" w:pos="5760"/>
        </w:tabs>
        <w:ind w:left="2430" w:hanging="90"/>
        <w:rPr>
          <w:szCs w:val="24"/>
        </w:rPr>
      </w:pPr>
      <w:r>
        <w:t>(ii) Notwithstanding the requirements of Section 4(c</w:t>
      </w:r>
      <w:proofErr w:type="gramStart"/>
      <w:r>
        <w:t>)(</w:t>
      </w:r>
      <w:proofErr w:type="gramEnd"/>
      <w:r>
        <w:t>3)(B)(</w:t>
      </w:r>
      <w:proofErr w:type="spellStart"/>
      <w:r>
        <w:t>i</w:t>
      </w:r>
      <w:proofErr w:type="spellEnd"/>
      <w:r>
        <w:t xml:space="preserve">) above, a certification by a Qualified Professional is </w:t>
      </w:r>
      <w:r w:rsidRPr="0021379C">
        <w:rPr>
          <w:b/>
          <w:i/>
        </w:rPr>
        <w:t>not</w:t>
      </w:r>
      <w:r>
        <w:t xml:space="preserve"> required for a pre-engineered treatment system(s) that:</w:t>
      </w:r>
    </w:p>
    <w:p w:rsidR="009373C7" w:rsidRDefault="009373C7" w:rsidP="009373C7">
      <w:pPr>
        <w:tabs>
          <w:tab w:val="left" w:pos="-720"/>
          <w:tab w:val="left" w:pos="0"/>
          <w:tab w:val="left" w:pos="1170"/>
          <w:tab w:val="left" w:pos="1620"/>
          <w:tab w:val="left" w:pos="2880"/>
          <w:tab w:val="left" w:pos="3422"/>
          <w:tab w:val="left" w:pos="3690"/>
          <w:tab w:val="left" w:pos="5760"/>
        </w:tabs>
        <w:ind w:left="2880" w:hanging="540"/>
      </w:pPr>
    </w:p>
    <w:p w:rsidR="009373C7" w:rsidRDefault="009373C7" w:rsidP="00D42C31">
      <w:pPr>
        <w:tabs>
          <w:tab w:val="left" w:pos="-720"/>
          <w:tab w:val="left" w:pos="0"/>
          <w:tab w:val="left" w:pos="1170"/>
          <w:tab w:val="left" w:pos="1620"/>
          <w:tab w:val="left" w:pos="2880"/>
          <w:tab w:val="left" w:pos="3150"/>
          <w:tab w:val="left" w:pos="3330"/>
          <w:tab w:val="left" w:pos="3420"/>
          <w:tab w:val="left" w:pos="5760"/>
        </w:tabs>
        <w:spacing w:after="120"/>
        <w:ind w:left="3513" w:hanging="1166"/>
        <w:rPr>
          <w:szCs w:val="24"/>
        </w:rPr>
      </w:pPr>
      <w:r>
        <w:rPr>
          <w:szCs w:val="24"/>
        </w:rPr>
        <w:tab/>
      </w:r>
      <w:r>
        <w:rPr>
          <w:szCs w:val="24"/>
        </w:rPr>
        <w:tab/>
        <w:t>(a) has been supplied with documentation from the manufacturer(s) demonstrating that such pre-engineered treatment system is designed to treat the pollutant levels in the wastewater discharge at the maximum discharge flow rate, and that such discharge will comply with the effluent limits and conditions of Section 5(a) of this general permit;</w:t>
      </w:r>
    </w:p>
    <w:p w:rsidR="009373C7" w:rsidRDefault="00D4271D" w:rsidP="00D42C31">
      <w:pPr>
        <w:tabs>
          <w:tab w:val="left" w:pos="-720"/>
          <w:tab w:val="left" w:pos="0"/>
          <w:tab w:val="left" w:pos="1170"/>
          <w:tab w:val="left" w:pos="1620"/>
          <w:tab w:val="left" w:pos="3422"/>
          <w:tab w:val="left" w:pos="3510"/>
          <w:tab w:val="left" w:pos="5760"/>
        </w:tabs>
        <w:ind w:left="3510" w:hanging="1170"/>
        <w:rPr>
          <w:rFonts w:ascii="Arial" w:hAnsi="Arial" w:cs="Arial"/>
          <w:i/>
          <w:color w:val="00B0F0"/>
        </w:rPr>
      </w:pPr>
      <w:r>
        <w:tab/>
      </w:r>
      <w:r>
        <w:tab/>
      </w:r>
      <w:r>
        <w:rPr>
          <w:rFonts w:ascii="Arial" w:hAnsi="Arial" w:cs="Arial"/>
          <w:i/>
          <w:color w:val="00B0F0"/>
        </w:rPr>
        <w:t>Any pre-engineered treatment system will have specification materials that document the system</w:t>
      </w:r>
      <w:r w:rsidR="00A1663D">
        <w:rPr>
          <w:rFonts w:ascii="Arial" w:hAnsi="Arial" w:cs="Arial"/>
          <w:i/>
          <w:color w:val="00B0F0"/>
        </w:rPr>
        <w:t>’</w:t>
      </w:r>
      <w:r>
        <w:rPr>
          <w:rFonts w:ascii="Arial" w:hAnsi="Arial" w:cs="Arial"/>
          <w:i/>
          <w:color w:val="00B0F0"/>
        </w:rPr>
        <w:t>s efficacy at different wastewater flow rates and indicate the</w:t>
      </w:r>
      <w:r w:rsidR="00C4178C">
        <w:rPr>
          <w:rFonts w:ascii="Arial" w:hAnsi="Arial" w:cs="Arial"/>
          <w:i/>
          <w:color w:val="00B0F0"/>
        </w:rPr>
        <w:t xml:space="preserve"> contaminants the treatment system </w:t>
      </w:r>
      <w:proofErr w:type="gramStart"/>
      <w:r w:rsidR="00C4178C">
        <w:rPr>
          <w:rFonts w:ascii="Arial" w:hAnsi="Arial" w:cs="Arial"/>
          <w:i/>
          <w:color w:val="00B0F0"/>
        </w:rPr>
        <w:t>is designed</w:t>
      </w:r>
      <w:proofErr w:type="gramEnd"/>
      <w:r w:rsidR="00C4178C">
        <w:rPr>
          <w:rFonts w:ascii="Arial" w:hAnsi="Arial" w:cs="Arial"/>
          <w:i/>
          <w:color w:val="00B0F0"/>
        </w:rPr>
        <w:t xml:space="preserve"> to remove.</w:t>
      </w:r>
    </w:p>
    <w:p w:rsidR="00C4178C" w:rsidRDefault="00C4178C" w:rsidP="00D42C31">
      <w:pPr>
        <w:tabs>
          <w:tab w:val="left" w:pos="-720"/>
          <w:tab w:val="left" w:pos="0"/>
          <w:tab w:val="left" w:pos="1170"/>
          <w:tab w:val="left" w:pos="1620"/>
          <w:tab w:val="left" w:pos="3422"/>
          <w:tab w:val="left" w:pos="3510"/>
          <w:tab w:val="left" w:pos="5760"/>
        </w:tabs>
        <w:ind w:left="3510" w:hanging="1170"/>
        <w:rPr>
          <w:rFonts w:ascii="Arial" w:hAnsi="Arial" w:cs="Arial"/>
          <w:i/>
          <w:color w:val="00B0F0"/>
        </w:rPr>
      </w:pPr>
    </w:p>
    <w:p w:rsidR="00F03645" w:rsidRDefault="00F03645" w:rsidP="00D42C31">
      <w:pPr>
        <w:tabs>
          <w:tab w:val="left" w:pos="-720"/>
          <w:tab w:val="left" w:pos="0"/>
          <w:tab w:val="left" w:pos="1170"/>
          <w:tab w:val="left" w:pos="1620"/>
          <w:tab w:val="left" w:pos="3422"/>
          <w:tab w:val="left" w:pos="3510"/>
          <w:tab w:val="left" w:pos="5760"/>
        </w:tabs>
        <w:ind w:left="3510" w:hanging="1170"/>
        <w:rPr>
          <w:rFonts w:ascii="Arial" w:hAnsi="Arial" w:cs="Arial"/>
          <w:i/>
          <w:color w:val="00B0F0"/>
        </w:rPr>
        <w:sectPr w:rsidR="00F03645" w:rsidSect="001F14C6">
          <w:headerReference w:type="even" r:id="rId9"/>
          <w:headerReference w:type="default" r:id="rId10"/>
          <w:footerReference w:type="default" r:id="rId11"/>
          <w:headerReference w:type="first" r:id="rId12"/>
          <w:pgSz w:w="12240" w:h="15840"/>
          <w:pgMar w:top="264" w:right="720" w:bottom="72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0" w:name="_GoBack"/>
      <w:bookmarkEnd w:id="0"/>
    </w:p>
    <w:p w:rsidR="00C4178C" w:rsidRPr="00D42C31" w:rsidRDefault="00C4178C" w:rsidP="00D42C31">
      <w:pPr>
        <w:tabs>
          <w:tab w:val="left" w:pos="-720"/>
          <w:tab w:val="left" w:pos="0"/>
          <w:tab w:val="left" w:pos="1170"/>
          <w:tab w:val="left" w:pos="1620"/>
          <w:tab w:val="left" w:pos="3422"/>
          <w:tab w:val="left" w:pos="3510"/>
          <w:tab w:val="left" w:pos="5760"/>
        </w:tabs>
        <w:ind w:left="3510" w:hanging="1170"/>
        <w:rPr>
          <w:rFonts w:ascii="Arial" w:hAnsi="Arial" w:cs="Arial"/>
          <w:i/>
          <w:color w:val="00B0F0"/>
        </w:rPr>
      </w:pPr>
    </w:p>
    <w:p w:rsidR="00772ED7" w:rsidRDefault="009373C7" w:rsidP="00D42C31">
      <w:pPr>
        <w:tabs>
          <w:tab w:val="left" w:pos="-720"/>
          <w:tab w:val="left" w:pos="0"/>
          <w:tab w:val="left" w:pos="1170"/>
          <w:tab w:val="left" w:pos="1620"/>
          <w:tab w:val="left" w:pos="2880"/>
          <w:tab w:val="left" w:pos="3150"/>
          <w:tab w:val="left" w:pos="3330"/>
          <w:tab w:val="left" w:pos="3422"/>
          <w:tab w:val="left" w:pos="5760"/>
        </w:tabs>
        <w:spacing w:after="120"/>
        <w:ind w:left="3513" w:hanging="1166"/>
        <w:rPr>
          <w:szCs w:val="24"/>
        </w:rPr>
      </w:pPr>
      <w:r>
        <w:rPr>
          <w:szCs w:val="24"/>
        </w:rPr>
        <w:tab/>
      </w:r>
      <w:r>
        <w:rPr>
          <w:szCs w:val="24"/>
        </w:rPr>
        <w:tab/>
        <w:t>(b) has been supplied with an Operation and Maintenance Plan from the manufacturer for such pre-engineered treatment system and supplemented as may be required by the Industrial User to meet the requirements of section 5(e)(2) and Appendix B of this general permit; and</w:t>
      </w:r>
    </w:p>
    <w:p w:rsidR="00C4178C" w:rsidRPr="00D42C31" w:rsidRDefault="00C4178C" w:rsidP="00D42C31">
      <w:pPr>
        <w:tabs>
          <w:tab w:val="left" w:pos="-720"/>
          <w:tab w:val="left" w:pos="0"/>
          <w:tab w:val="left" w:pos="1170"/>
          <w:tab w:val="left" w:pos="1620"/>
          <w:tab w:val="left" w:pos="2880"/>
          <w:tab w:val="left" w:pos="3150"/>
          <w:tab w:val="left" w:pos="3330"/>
          <w:tab w:val="left" w:pos="3510"/>
          <w:tab w:val="left" w:pos="5760"/>
        </w:tabs>
        <w:ind w:left="3510" w:hanging="1170"/>
        <w:rPr>
          <w:rFonts w:ascii="Arial" w:hAnsi="Arial" w:cs="Arial"/>
          <w:i/>
          <w:color w:val="00B0F0"/>
          <w:szCs w:val="24"/>
        </w:rPr>
      </w:pPr>
      <w:r>
        <w:rPr>
          <w:szCs w:val="24"/>
        </w:rPr>
        <w:tab/>
      </w:r>
      <w:r>
        <w:rPr>
          <w:szCs w:val="24"/>
        </w:rPr>
        <w:tab/>
      </w:r>
      <w:r>
        <w:rPr>
          <w:szCs w:val="24"/>
        </w:rPr>
        <w:tab/>
      </w:r>
      <w:r>
        <w:rPr>
          <w:szCs w:val="24"/>
        </w:rPr>
        <w:tab/>
      </w:r>
      <w:r w:rsidR="00E357B4" w:rsidRPr="00D42C31">
        <w:rPr>
          <w:rFonts w:ascii="Arial" w:hAnsi="Arial" w:cs="Arial"/>
          <w:i/>
          <w:color w:val="00B0F0"/>
          <w:szCs w:val="24"/>
        </w:rPr>
        <w:t>The</w:t>
      </w:r>
      <w:r w:rsidR="00E357B4">
        <w:rPr>
          <w:rFonts w:ascii="Arial" w:hAnsi="Arial" w:cs="Arial"/>
          <w:i/>
          <w:szCs w:val="24"/>
        </w:rPr>
        <w:t xml:space="preserve"> </w:t>
      </w:r>
      <w:r w:rsidR="00E357B4" w:rsidRPr="00D42C31">
        <w:rPr>
          <w:rFonts w:ascii="Arial" w:hAnsi="Arial" w:cs="Arial"/>
          <w:i/>
          <w:color w:val="00B0F0"/>
          <w:szCs w:val="24"/>
        </w:rPr>
        <w:t>requirement</w:t>
      </w:r>
      <w:r w:rsidR="00E357B4">
        <w:rPr>
          <w:rFonts w:ascii="Arial" w:hAnsi="Arial" w:cs="Arial"/>
          <w:i/>
          <w:color w:val="00B0F0"/>
          <w:szCs w:val="24"/>
        </w:rPr>
        <w:t xml:space="preserve"> for</w:t>
      </w:r>
      <w:r w:rsidR="00E357B4">
        <w:rPr>
          <w:rFonts w:ascii="Arial" w:hAnsi="Arial" w:cs="Arial"/>
          <w:i/>
          <w:szCs w:val="24"/>
        </w:rPr>
        <w:t xml:space="preserve"> </w:t>
      </w:r>
      <w:r w:rsidR="00E357B4">
        <w:rPr>
          <w:rFonts w:ascii="Arial" w:hAnsi="Arial" w:cs="Arial"/>
          <w:i/>
          <w:color w:val="00B0F0"/>
          <w:szCs w:val="24"/>
        </w:rPr>
        <w:t>an Operation and Maintenance Plan</w:t>
      </w:r>
      <w:r w:rsidR="00EE3DC4">
        <w:rPr>
          <w:rFonts w:ascii="Arial" w:hAnsi="Arial" w:cs="Arial"/>
          <w:i/>
          <w:color w:val="00B0F0"/>
          <w:szCs w:val="24"/>
        </w:rPr>
        <w:t xml:space="preserve"> (O&amp;M Plan)</w:t>
      </w:r>
      <w:r w:rsidR="00E357B4">
        <w:rPr>
          <w:rFonts w:ascii="Arial" w:hAnsi="Arial" w:cs="Arial"/>
          <w:i/>
          <w:color w:val="00B0F0"/>
          <w:szCs w:val="24"/>
        </w:rPr>
        <w:t xml:space="preserve"> at Section 5(e)(2) indicates it must be “for the wastewater collection, storage, treatment, and control systems for the activity covered by this general permit.”  Treatment system manufacturers</w:t>
      </w:r>
      <w:r w:rsidR="00EE3DC4">
        <w:rPr>
          <w:rFonts w:ascii="Arial" w:hAnsi="Arial" w:cs="Arial"/>
          <w:i/>
          <w:color w:val="00B0F0"/>
          <w:szCs w:val="24"/>
        </w:rPr>
        <w:t xml:space="preserve"> can provide much of the information for an O&amp;M </w:t>
      </w:r>
      <w:r w:rsidR="009D34D9">
        <w:rPr>
          <w:rFonts w:ascii="Arial" w:hAnsi="Arial" w:cs="Arial"/>
          <w:i/>
          <w:color w:val="00B0F0"/>
          <w:szCs w:val="24"/>
        </w:rPr>
        <w:t>Plan required</w:t>
      </w:r>
      <w:r w:rsidR="00EE3DC4">
        <w:rPr>
          <w:rFonts w:ascii="Arial" w:hAnsi="Arial" w:cs="Arial"/>
          <w:i/>
          <w:color w:val="00B0F0"/>
          <w:szCs w:val="24"/>
        </w:rPr>
        <w:t xml:space="preserve"> by Appendix B, but the Industrial User will need to supplement this plan with the </w:t>
      </w:r>
      <w:r w:rsidR="009D34D9">
        <w:rPr>
          <w:rFonts w:ascii="Arial" w:hAnsi="Arial" w:cs="Arial"/>
          <w:i/>
          <w:color w:val="00B0F0"/>
          <w:szCs w:val="24"/>
        </w:rPr>
        <w:t>site-specific</w:t>
      </w:r>
      <w:r w:rsidR="00EE3DC4">
        <w:rPr>
          <w:rFonts w:ascii="Arial" w:hAnsi="Arial" w:cs="Arial"/>
          <w:i/>
          <w:color w:val="00B0F0"/>
          <w:szCs w:val="24"/>
        </w:rPr>
        <w:t xml:space="preserve"> information requested in Appendix B</w:t>
      </w:r>
      <w:r w:rsidR="001B1B48">
        <w:rPr>
          <w:rFonts w:ascii="Arial" w:hAnsi="Arial" w:cs="Arial"/>
          <w:i/>
          <w:color w:val="00B0F0"/>
          <w:szCs w:val="24"/>
        </w:rPr>
        <w:t>.  For example, supplemental site information might include an</w:t>
      </w:r>
      <w:r w:rsidR="00EE3DC4">
        <w:rPr>
          <w:rFonts w:ascii="Arial" w:hAnsi="Arial" w:cs="Arial"/>
          <w:i/>
          <w:color w:val="00B0F0"/>
          <w:szCs w:val="24"/>
        </w:rPr>
        <w:t xml:space="preserve"> inventory of </w:t>
      </w:r>
      <w:r w:rsidR="00772ED7">
        <w:rPr>
          <w:rFonts w:ascii="Arial" w:hAnsi="Arial" w:cs="Arial"/>
          <w:i/>
          <w:color w:val="00B0F0"/>
          <w:szCs w:val="24"/>
        </w:rPr>
        <w:t xml:space="preserve">wastewater treatment system </w:t>
      </w:r>
      <w:r w:rsidR="00EE3DC4">
        <w:rPr>
          <w:rFonts w:ascii="Arial" w:hAnsi="Arial" w:cs="Arial"/>
          <w:i/>
          <w:color w:val="00B0F0"/>
          <w:szCs w:val="24"/>
        </w:rPr>
        <w:t xml:space="preserve">spare parts kept </w:t>
      </w:r>
      <w:r w:rsidR="00772ED7">
        <w:rPr>
          <w:rFonts w:ascii="Arial" w:hAnsi="Arial" w:cs="Arial"/>
          <w:i/>
          <w:color w:val="00B0F0"/>
          <w:szCs w:val="24"/>
        </w:rPr>
        <w:t>at the facility (#5 in Appendix B) or a list of all treatment chemicals and their quantities stored at the facility (#6 in Appendix B).</w:t>
      </w:r>
    </w:p>
    <w:p w:rsidR="009373C7" w:rsidRDefault="009373C7" w:rsidP="009373C7">
      <w:pPr>
        <w:tabs>
          <w:tab w:val="left" w:pos="-720"/>
          <w:tab w:val="left" w:pos="0"/>
          <w:tab w:val="left" w:pos="1170"/>
          <w:tab w:val="left" w:pos="1620"/>
          <w:tab w:val="left" w:pos="2880"/>
          <w:tab w:val="left" w:pos="3422"/>
          <w:tab w:val="left" w:pos="3690"/>
          <w:tab w:val="left" w:pos="5760"/>
        </w:tabs>
        <w:ind w:left="2340"/>
        <w:rPr>
          <w:szCs w:val="24"/>
        </w:rPr>
      </w:pPr>
    </w:p>
    <w:p w:rsidR="009373C7" w:rsidRDefault="009373C7" w:rsidP="00D42C31">
      <w:pPr>
        <w:tabs>
          <w:tab w:val="left" w:pos="-720"/>
          <w:tab w:val="left" w:pos="0"/>
          <w:tab w:val="left" w:pos="1170"/>
          <w:tab w:val="left" w:pos="1620"/>
          <w:tab w:val="left" w:pos="2880"/>
          <w:tab w:val="left" w:pos="3150"/>
          <w:tab w:val="left" w:pos="3330"/>
          <w:tab w:val="left" w:pos="3422"/>
          <w:tab w:val="left" w:pos="5760"/>
        </w:tabs>
        <w:spacing w:after="120"/>
        <w:ind w:left="3513" w:hanging="1166"/>
        <w:rPr>
          <w:szCs w:val="24"/>
        </w:rPr>
      </w:pPr>
      <w:r>
        <w:rPr>
          <w:szCs w:val="24"/>
        </w:rPr>
        <w:tab/>
      </w:r>
      <w:r>
        <w:rPr>
          <w:szCs w:val="24"/>
        </w:rPr>
        <w:tab/>
        <w:t xml:space="preserve">(c) </w:t>
      </w:r>
      <w:proofErr w:type="gramStart"/>
      <w:r>
        <w:rPr>
          <w:szCs w:val="24"/>
        </w:rPr>
        <w:t>has</w:t>
      </w:r>
      <w:proofErr w:type="gramEnd"/>
      <w:r>
        <w:rPr>
          <w:szCs w:val="24"/>
        </w:rPr>
        <w:t xml:space="preserve"> an integrated spill prevention and control system which, at a minimum, is capable of containing at least 110% of the volume of the largest system component, or is installed in an area that provides such containment.</w:t>
      </w:r>
    </w:p>
    <w:p w:rsidR="00A1663D" w:rsidRPr="00D42C31" w:rsidRDefault="00A1663D" w:rsidP="00D42C31">
      <w:pPr>
        <w:tabs>
          <w:tab w:val="left" w:pos="-720"/>
          <w:tab w:val="left" w:pos="0"/>
          <w:tab w:val="left" w:pos="1170"/>
          <w:tab w:val="left" w:pos="1620"/>
          <w:tab w:val="left" w:pos="2880"/>
          <w:tab w:val="left" w:pos="3150"/>
          <w:tab w:val="left" w:pos="3330"/>
          <w:tab w:val="left" w:pos="3422"/>
          <w:tab w:val="left" w:pos="5760"/>
        </w:tabs>
        <w:spacing w:after="120"/>
        <w:ind w:left="3513" w:hanging="1166"/>
        <w:rPr>
          <w:rFonts w:ascii="Arial" w:hAnsi="Arial" w:cs="Arial"/>
          <w:i/>
          <w:color w:val="00B0F0"/>
        </w:rPr>
      </w:pPr>
      <w:r>
        <w:rPr>
          <w:szCs w:val="24"/>
        </w:rPr>
        <w:tab/>
      </w:r>
      <w:r>
        <w:rPr>
          <w:szCs w:val="24"/>
        </w:rPr>
        <w:tab/>
      </w:r>
      <w:r>
        <w:rPr>
          <w:szCs w:val="24"/>
        </w:rPr>
        <w:tab/>
      </w:r>
      <w:r>
        <w:rPr>
          <w:szCs w:val="24"/>
        </w:rPr>
        <w:tab/>
      </w:r>
      <w:r>
        <w:rPr>
          <w:szCs w:val="24"/>
        </w:rPr>
        <w:tab/>
      </w:r>
      <w:r w:rsidR="00B9179C" w:rsidRPr="00D42C31">
        <w:rPr>
          <w:rFonts w:ascii="Arial" w:hAnsi="Arial" w:cs="Arial"/>
          <w:i/>
          <w:color w:val="00B0F0"/>
        </w:rPr>
        <w:t xml:space="preserve">The integrated spill prevention and control system must include secondary containment for the entire pre-engineered system; meaning, for example, if the pre-engineered system includes an in-ground tank, such tank must have secondary containment, which </w:t>
      </w:r>
      <w:proofErr w:type="gramStart"/>
      <w:r w:rsidR="00B9179C" w:rsidRPr="00D42C31">
        <w:rPr>
          <w:rFonts w:ascii="Arial" w:hAnsi="Arial" w:cs="Arial"/>
          <w:i/>
          <w:color w:val="00B0F0"/>
        </w:rPr>
        <w:t>could be provided</w:t>
      </w:r>
      <w:proofErr w:type="gramEnd"/>
      <w:r w:rsidR="00B9179C" w:rsidRPr="00D42C31">
        <w:rPr>
          <w:rFonts w:ascii="Arial" w:hAnsi="Arial" w:cs="Arial"/>
          <w:i/>
          <w:color w:val="00B0F0"/>
        </w:rPr>
        <w:t xml:space="preserve"> by using a double-</w:t>
      </w:r>
      <w:r w:rsidR="00303789" w:rsidRPr="00D42C31">
        <w:rPr>
          <w:rFonts w:ascii="Arial" w:hAnsi="Arial" w:cs="Arial"/>
          <w:i/>
          <w:color w:val="00B0F0"/>
        </w:rPr>
        <w:t>walled</w:t>
      </w:r>
      <w:r w:rsidR="00B9179C" w:rsidRPr="00D42C31">
        <w:rPr>
          <w:rFonts w:ascii="Arial" w:hAnsi="Arial" w:cs="Arial"/>
          <w:i/>
          <w:color w:val="00B0F0"/>
        </w:rPr>
        <w:t xml:space="preserve"> tank</w:t>
      </w:r>
      <w:r w:rsidR="00795220" w:rsidRPr="00303789">
        <w:rPr>
          <w:rFonts w:ascii="Arial" w:hAnsi="Arial" w:cs="Arial"/>
          <w:i/>
          <w:color w:val="00B0F0"/>
          <w:szCs w:val="24"/>
        </w:rPr>
        <w:t>.</w:t>
      </w:r>
      <w:r w:rsidR="00795220">
        <w:rPr>
          <w:rFonts w:ascii="Arial" w:hAnsi="Arial" w:cs="Arial"/>
          <w:i/>
          <w:color w:val="00B0F0"/>
          <w:szCs w:val="24"/>
        </w:rPr>
        <w:t xml:space="preserve">  An underground tank associated with the activity covered by this general permit that has no secondary containment cannot meet the</w:t>
      </w:r>
      <w:r w:rsidR="00857EAD">
        <w:rPr>
          <w:rFonts w:ascii="Arial" w:hAnsi="Arial" w:cs="Arial"/>
          <w:i/>
          <w:color w:val="00B0F0"/>
          <w:szCs w:val="24"/>
        </w:rPr>
        <w:t xml:space="preserve"> requirements of Section</w:t>
      </w:r>
      <w:r w:rsidR="008B1E91">
        <w:rPr>
          <w:rFonts w:ascii="Arial" w:hAnsi="Arial" w:cs="Arial"/>
          <w:i/>
          <w:color w:val="00B0F0"/>
          <w:szCs w:val="24"/>
        </w:rPr>
        <w:t xml:space="preserve"> 4(c</w:t>
      </w:r>
      <w:proofErr w:type="gramStart"/>
      <w:r w:rsidR="008B1E91">
        <w:rPr>
          <w:rFonts w:ascii="Arial" w:hAnsi="Arial" w:cs="Arial"/>
          <w:i/>
          <w:color w:val="00B0F0"/>
          <w:szCs w:val="24"/>
        </w:rPr>
        <w:t>)(</w:t>
      </w:r>
      <w:proofErr w:type="gramEnd"/>
      <w:r w:rsidR="008B1E91">
        <w:rPr>
          <w:rFonts w:ascii="Arial" w:hAnsi="Arial" w:cs="Arial"/>
          <w:i/>
          <w:color w:val="00B0F0"/>
          <w:szCs w:val="24"/>
        </w:rPr>
        <w:t>3)(B)(ii)(c) of the MIU general permit.</w:t>
      </w:r>
    </w:p>
    <w:p w:rsidR="002B04E9" w:rsidRDefault="002B04E9" w:rsidP="00823C9A">
      <w:pPr>
        <w:widowControl/>
        <w:spacing w:line="276" w:lineRule="auto"/>
        <w:jc w:val="both"/>
        <w:rPr>
          <w:rFonts w:ascii="Arial" w:eastAsia="Calibri" w:hAnsi="Arial" w:cs="Arial"/>
          <w:snapToGrid/>
          <w:sz w:val="20"/>
        </w:rPr>
      </w:pPr>
    </w:p>
    <w:p w:rsidR="002B04E9" w:rsidRPr="00D42C31" w:rsidRDefault="002B04E9" w:rsidP="00823C9A">
      <w:pPr>
        <w:widowControl/>
        <w:spacing w:line="276" w:lineRule="auto"/>
        <w:jc w:val="both"/>
        <w:rPr>
          <w:rFonts w:ascii="Arial" w:eastAsia="Calibri" w:hAnsi="Arial" w:cs="Arial"/>
          <w:i/>
          <w:snapToGrid/>
          <w:szCs w:val="24"/>
        </w:rPr>
      </w:pPr>
      <w:r w:rsidRPr="00D42C31">
        <w:rPr>
          <w:rFonts w:ascii="Arial" w:eastAsia="Calibri" w:hAnsi="Arial" w:cs="Arial"/>
          <w:i/>
          <w:snapToGrid/>
          <w:color w:val="00B0F0"/>
          <w:szCs w:val="24"/>
        </w:rPr>
        <w:t>The documentation necessary to meet Section 4(c)(3)(B)(ii) of the MIU GP</w:t>
      </w:r>
      <w:r w:rsidR="00777A77" w:rsidRPr="00D42C31">
        <w:rPr>
          <w:rFonts w:ascii="Arial" w:eastAsia="Calibri" w:hAnsi="Arial" w:cs="Arial"/>
          <w:i/>
          <w:snapToGrid/>
          <w:color w:val="00B0F0"/>
          <w:szCs w:val="24"/>
        </w:rPr>
        <w:t xml:space="preserve"> does not have to be submitted with the notification but must be kept on site and made available to a POTW or DEEP inspector upon request.</w:t>
      </w:r>
    </w:p>
    <w:p w:rsidR="006925FF" w:rsidRDefault="006925FF" w:rsidP="006925FF">
      <w:pPr>
        <w:pStyle w:val="Heading1"/>
        <w:tabs>
          <w:tab w:val="left" w:pos="1800"/>
        </w:tabs>
        <w:jc w:val="center"/>
        <w:rPr>
          <w:rFonts w:ascii="Arial" w:hAnsi="Arial" w:cs="Arial"/>
          <w:sz w:val="32"/>
          <w:szCs w:val="32"/>
        </w:rPr>
      </w:pPr>
    </w:p>
    <w:sectPr w:rsidR="006925FF" w:rsidSect="001F14C6">
      <w:pgSz w:w="12240" w:h="15840"/>
      <w:pgMar w:top="264" w:right="720" w:bottom="72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91" w:rsidRDefault="008B1E91" w:rsidP="00BC52B6">
      <w:r>
        <w:separator/>
      </w:r>
    </w:p>
  </w:endnote>
  <w:endnote w:type="continuationSeparator" w:id="0">
    <w:p w:rsidR="008B1E91" w:rsidRDefault="008B1E91" w:rsidP="00B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C6" w:rsidRPr="006E7DFA" w:rsidRDefault="001F14C6" w:rsidP="001F14C6">
    <w:pPr>
      <w:rPr>
        <w:rFonts w:ascii="Arial" w:hAnsi="Arial" w:cs="Arial"/>
        <w:sz w:val="16"/>
      </w:rPr>
    </w:pPr>
    <w:r w:rsidRPr="006E7DFA">
      <w:rPr>
        <w:rFonts w:ascii="Arial" w:hAnsi="Arial" w:cs="Arial"/>
        <w:sz w:val="16"/>
      </w:rPr>
      <w:t>Bureau of Materials Management and Compliance Assurance</w:t>
    </w:r>
  </w:p>
  <w:p w:rsidR="008B1E91" w:rsidRPr="001F14C6" w:rsidRDefault="001F14C6" w:rsidP="001F14C6">
    <w:pPr>
      <w:tabs>
        <w:tab w:val="center" w:pos="5040"/>
        <w:tab w:val="right" w:pos="10080"/>
      </w:tabs>
      <w:rPr>
        <w:rFonts w:ascii="Arial" w:hAnsi="Arial" w:cs="Arial"/>
        <w:sz w:val="16"/>
      </w:rPr>
    </w:pPr>
    <w:r>
      <w:rPr>
        <w:rFonts w:ascii="Arial" w:hAnsi="Arial" w:cs="Arial"/>
        <w:sz w:val="16"/>
      </w:rPr>
      <w:t>DEEP-WPED-INST-12B</w:t>
    </w:r>
    <w:r w:rsidRPr="006E7DFA">
      <w:rPr>
        <w:rFonts w:ascii="Arial" w:hAnsi="Arial" w:cs="Arial"/>
        <w:sz w:val="16"/>
      </w:rPr>
      <w:tab/>
    </w:r>
    <w:r w:rsidRPr="006E7DFA">
      <w:rPr>
        <w:rFonts w:ascii="Arial" w:hAnsi="Arial" w:cs="Arial"/>
        <w:sz w:val="16"/>
      </w:rPr>
      <w:fldChar w:fldCharType="begin"/>
    </w:r>
    <w:r w:rsidRPr="006E7DFA">
      <w:rPr>
        <w:rFonts w:ascii="Arial" w:hAnsi="Arial" w:cs="Arial"/>
        <w:sz w:val="16"/>
      </w:rPr>
      <w:instrText xml:space="preserve">PAGE </w:instrText>
    </w:r>
    <w:r w:rsidRPr="006E7DFA">
      <w:rPr>
        <w:rFonts w:ascii="Arial" w:hAnsi="Arial" w:cs="Arial"/>
        <w:sz w:val="16"/>
      </w:rPr>
      <w:fldChar w:fldCharType="separate"/>
    </w:r>
    <w:r w:rsidR="00CE5531">
      <w:rPr>
        <w:rFonts w:ascii="Arial" w:hAnsi="Arial" w:cs="Arial"/>
        <w:noProof/>
        <w:sz w:val="16"/>
      </w:rPr>
      <w:t>1</w:t>
    </w:r>
    <w:r w:rsidRPr="006E7DFA">
      <w:rPr>
        <w:rFonts w:ascii="Arial" w:hAnsi="Arial" w:cs="Arial"/>
        <w:sz w:val="16"/>
      </w:rPr>
      <w:fldChar w:fldCharType="end"/>
    </w:r>
    <w:r w:rsidRPr="006E7DFA">
      <w:rPr>
        <w:rFonts w:ascii="Arial" w:hAnsi="Arial" w:cs="Arial"/>
        <w:sz w:val="16"/>
      </w:rPr>
      <w:t xml:space="preserve"> of </w:t>
    </w:r>
    <w:r>
      <w:rPr>
        <w:rFonts w:ascii="Arial" w:hAnsi="Arial" w:cs="Arial"/>
        <w:sz w:val="16"/>
      </w:rPr>
      <w:t>2</w:t>
    </w:r>
    <w:r w:rsidRPr="006E7DFA">
      <w:rPr>
        <w:rFonts w:ascii="Arial" w:hAnsi="Arial" w:cs="Arial"/>
        <w:sz w:val="16"/>
      </w:rPr>
      <w:tab/>
      <w:t xml:space="preserve">Rev. </w:t>
    </w:r>
    <w:r w:rsidR="00D709BB">
      <w:rPr>
        <w:rFonts w:ascii="Arial" w:hAnsi="Arial" w:cs="Arial"/>
        <w:sz w:val="16"/>
        <w:highlight w:val="yellow"/>
      </w:rPr>
      <w:t>9/26</w:t>
    </w:r>
    <w:r w:rsidRPr="009636C0">
      <w:rPr>
        <w:rFonts w:ascii="Arial" w:hAnsi="Arial" w:cs="Arial"/>
        <w:sz w:val="16"/>
        <w:highlight w:val="yellow"/>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91" w:rsidRDefault="008B1E91" w:rsidP="00BC52B6">
      <w:r>
        <w:separator/>
      </w:r>
    </w:p>
  </w:footnote>
  <w:footnote w:type="continuationSeparator" w:id="0">
    <w:p w:rsidR="008B1E91" w:rsidRDefault="008B1E91" w:rsidP="00BC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0C" w:rsidRDefault="00CE55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7188" o:spid="_x0000_s2051" type="#_x0000_t136" style="position:absolute;margin-left:0;margin-top:0;width:652.55pt;height:108.75pt;rotation:315;z-index:-251655168;mso-position-horizontal:center;mso-position-horizontal-relative:margin;mso-position-vertical:center;mso-position-vertical-relative:margin" o:allowincell="f" fillcolor="#00b0f0" stroked="f">
          <v:fill opacity=".5"/>
          <v:textpath style="font-family:&quot;Times New Roman&quot;;font-size:1pt" string="INSTRUC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91" w:rsidRDefault="00CE55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7189" o:spid="_x0000_s2052" type="#_x0000_t136" style="position:absolute;margin-left:0;margin-top:0;width:652.55pt;height:108.75pt;rotation:315;z-index:-251653120;mso-position-horizontal:center;mso-position-horizontal-relative:margin;mso-position-vertical:center;mso-position-vertical-relative:margin" o:allowincell="f" fillcolor="#00b0f0" stroked="f">
          <v:fill opacity=".5"/>
          <v:textpath style="font-family:&quot;Times New Roman&quot;;font-size:1pt" string="INSTRUC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0C" w:rsidRDefault="00CE55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7187" o:spid="_x0000_s2050" type="#_x0000_t136" style="position:absolute;margin-left:0;margin-top:0;width:652.55pt;height:108.75pt;rotation:315;z-index:-251657216;mso-position-horizontal:center;mso-position-horizontal-relative:margin;mso-position-vertical:center;mso-position-vertical-relative:margin" o:allowincell="f" fillcolor="#00b0f0" stroked="f">
          <v:fill opacity=".5"/>
          <v:textpath style="font-family:&quot;Times New Roman&quot;;font-size:1pt" string="INSTRUCTION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D"/>
    <w:rsid w:val="00067E5D"/>
    <w:rsid w:val="00095A0C"/>
    <w:rsid w:val="000E78AF"/>
    <w:rsid w:val="00121BC4"/>
    <w:rsid w:val="001445ED"/>
    <w:rsid w:val="00185755"/>
    <w:rsid w:val="001B1B48"/>
    <w:rsid w:val="001E7849"/>
    <w:rsid w:val="001F14C6"/>
    <w:rsid w:val="002448AF"/>
    <w:rsid w:val="002B04E9"/>
    <w:rsid w:val="002D4239"/>
    <w:rsid w:val="00303789"/>
    <w:rsid w:val="00312B45"/>
    <w:rsid w:val="00372D71"/>
    <w:rsid w:val="003860C9"/>
    <w:rsid w:val="0045003B"/>
    <w:rsid w:val="00496BB6"/>
    <w:rsid w:val="004B703F"/>
    <w:rsid w:val="0055104F"/>
    <w:rsid w:val="00562DEA"/>
    <w:rsid w:val="005703DE"/>
    <w:rsid w:val="005B29B1"/>
    <w:rsid w:val="005C2AD6"/>
    <w:rsid w:val="005D1846"/>
    <w:rsid w:val="005E7024"/>
    <w:rsid w:val="006925FF"/>
    <w:rsid w:val="00772ED7"/>
    <w:rsid w:val="00777A77"/>
    <w:rsid w:val="00780687"/>
    <w:rsid w:val="00795220"/>
    <w:rsid w:val="007B53E6"/>
    <w:rsid w:val="007E2785"/>
    <w:rsid w:val="008008AB"/>
    <w:rsid w:val="00801806"/>
    <w:rsid w:val="00817835"/>
    <w:rsid w:val="008229C5"/>
    <w:rsid w:val="00823C9A"/>
    <w:rsid w:val="008364AA"/>
    <w:rsid w:val="00857EAD"/>
    <w:rsid w:val="00876CF0"/>
    <w:rsid w:val="00883A57"/>
    <w:rsid w:val="008B1E91"/>
    <w:rsid w:val="008E1182"/>
    <w:rsid w:val="009373C7"/>
    <w:rsid w:val="00950905"/>
    <w:rsid w:val="009D34D9"/>
    <w:rsid w:val="00A1663D"/>
    <w:rsid w:val="00A23E67"/>
    <w:rsid w:val="00A455FB"/>
    <w:rsid w:val="00AF7DE6"/>
    <w:rsid w:val="00B300CD"/>
    <w:rsid w:val="00B724A7"/>
    <w:rsid w:val="00B85A0C"/>
    <w:rsid w:val="00B9179C"/>
    <w:rsid w:val="00BC52B6"/>
    <w:rsid w:val="00C2222D"/>
    <w:rsid w:val="00C4178C"/>
    <w:rsid w:val="00CB4F1A"/>
    <w:rsid w:val="00CC072A"/>
    <w:rsid w:val="00CD0087"/>
    <w:rsid w:val="00CE5531"/>
    <w:rsid w:val="00D33CC4"/>
    <w:rsid w:val="00D36C6B"/>
    <w:rsid w:val="00D4271D"/>
    <w:rsid w:val="00D42C31"/>
    <w:rsid w:val="00D709BB"/>
    <w:rsid w:val="00D96988"/>
    <w:rsid w:val="00DA42AB"/>
    <w:rsid w:val="00DB7E5A"/>
    <w:rsid w:val="00DF1EA2"/>
    <w:rsid w:val="00E075C0"/>
    <w:rsid w:val="00E357B4"/>
    <w:rsid w:val="00E3668A"/>
    <w:rsid w:val="00EB7E71"/>
    <w:rsid w:val="00EC3F5C"/>
    <w:rsid w:val="00ED6DCD"/>
    <w:rsid w:val="00EE3DC4"/>
    <w:rsid w:val="00EE4570"/>
    <w:rsid w:val="00F03645"/>
    <w:rsid w:val="00F1416D"/>
    <w:rsid w:val="00F14A94"/>
    <w:rsid w:val="00F24774"/>
    <w:rsid w:val="00F50CCF"/>
    <w:rsid w:val="00F608A2"/>
    <w:rsid w:val="00F84D3C"/>
    <w:rsid w:val="00F90DA2"/>
    <w:rsid w:val="00FC4B1E"/>
    <w:rsid w:val="00FF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E781734"/>
  <w15:docId w15:val="{2BB33C53-0D55-40C9-9D75-EC4D42CD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ED"/>
    <w:pPr>
      <w:widowControl w:val="0"/>
    </w:pPr>
    <w:rPr>
      <w:snapToGrid w:val="0"/>
      <w:sz w:val="24"/>
    </w:rPr>
  </w:style>
  <w:style w:type="paragraph" w:styleId="Heading1">
    <w:name w:val="heading 1"/>
    <w:basedOn w:val="Normal"/>
    <w:next w:val="Normal"/>
    <w:link w:val="Heading1Char"/>
    <w:uiPriority w:val="9"/>
    <w:qFormat/>
    <w:rsid w:val="00CC072A"/>
    <w:pPr>
      <w:keepNext/>
      <w:outlineLvl w:val="0"/>
    </w:pPr>
    <w:rPr>
      <w:rFonts w:ascii="Univers" w:hAnsi="Univer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67"/>
    <w:rPr>
      <w:rFonts w:ascii="Segoe UI" w:hAnsi="Segoe UI" w:cs="Segoe UI"/>
      <w:snapToGrid w:val="0"/>
      <w:sz w:val="18"/>
      <w:szCs w:val="18"/>
    </w:rPr>
  </w:style>
  <w:style w:type="paragraph" w:styleId="Header">
    <w:name w:val="header"/>
    <w:basedOn w:val="Normal"/>
    <w:link w:val="HeaderChar"/>
    <w:uiPriority w:val="99"/>
    <w:unhideWhenUsed/>
    <w:rsid w:val="00BC52B6"/>
    <w:pPr>
      <w:tabs>
        <w:tab w:val="center" w:pos="4680"/>
        <w:tab w:val="right" w:pos="9360"/>
      </w:tabs>
    </w:pPr>
  </w:style>
  <w:style w:type="character" w:customStyle="1" w:styleId="HeaderChar">
    <w:name w:val="Header Char"/>
    <w:basedOn w:val="DefaultParagraphFont"/>
    <w:link w:val="Header"/>
    <w:uiPriority w:val="99"/>
    <w:rsid w:val="00BC52B6"/>
    <w:rPr>
      <w:snapToGrid w:val="0"/>
      <w:sz w:val="24"/>
    </w:rPr>
  </w:style>
  <w:style w:type="paragraph" w:styleId="Footer">
    <w:name w:val="footer"/>
    <w:basedOn w:val="Normal"/>
    <w:link w:val="FooterChar"/>
    <w:uiPriority w:val="99"/>
    <w:unhideWhenUsed/>
    <w:rsid w:val="00BC52B6"/>
    <w:pPr>
      <w:tabs>
        <w:tab w:val="center" w:pos="4680"/>
        <w:tab w:val="right" w:pos="9360"/>
      </w:tabs>
    </w:pPr>
  </w:style>
  <w:style w:type="character" w:customStyle="1" w:styleId="FooterChar">
    <w:name w:val="Footer Char"/>
    <w:basedOn w:val="DefaultParagraphFont"/>
    <w:link w:val="Footer"/>
    <w:uiPriority w:val="99"/>
    <w:rsid w:val="00BC52B6"/>
    <w:rPr>
      <w:snapToGrid w:val="0"/>
      <w:sz w:val="24"/>
    </w:rPr>
  </w:style>
  <w:style w:type="character" w:customStyle="1" w:styleId="Heading1Char">
    <w:name w:val="Heading 1 Char"/>
    <w:basedOn w:val="DefaultParagraphFont"/>
    <w:link w:val="Heading1"/>
    <w:uiPriority w:val="9"/>
    <w:rsid w:val="00CC072A"/>
    <w:rPr>
      <w:rFonts w:ascii="Univers" w:hAnsi="Univers"/>
      <w:b/>
      <w:snapToGrid w:val="0"/>
      <w:sz w:val="36"/>
    </w:rPr>
  </w:style>
  <w:style w:type="paragraph" w:styleId="CommentText">
    <w:name w:val="annotation text"/>
    <w:basedOn w:val="Normal"/>
    <w:link w:val="CommentTextChar"/>
    <w:semiHidden/>
    <w:rsid w:val="009373C7"/>
    <w:pPr>
      <w:widowControl/>
    </w:pPr>
    <w:rPr>
      <w:snapToGrid/>
      <w:sz w:val="20"/>
    </w:rPr>
  </w:style>
  <w:style w:type="character" w:customStyle="1" w:styleId="CommentTextChar">
    <w:name w:val="Comment Text Char"/>
    <w:basedOn w:val="DefaultParagraphFont"/>
    <w:link w:val="CommentText"/>
    <w:semiHidden/>
    <w:rsid w:val="009373C7"/>
  </w:style>
  <w:style w:type="character" w:styleId="CommentReference">
    <w:name w:val="annotation reference"/>
    <w:basedOn w:val="DefaultParagraphFont"/>
    <w:uiPriority w:val="99"/>
    <w:semiHidden/>
    <w:rsid w:val="009373C7"/>
    <w:rPr>
      <w:sz w:val="16"/>
      <w:szCs w:val="16"/>
    </w:rPr>
  </w:style>
  <w:style w:type="character" w:styleId="Hyperlink">
    <w:name w:val="Hyperlink"/>
    <w:basedOn w:val="DefaultParagraphFont"/>
    <w:uiPriority w:val="99"/>
    <w:unhideWhenUsed/>
    <w:rsid w:val="00F03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EEP/Permits_and_Licenses/Water_Discharge_Permits/miu_gppdf.pdf?l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94C0F-C8B3-4442-9965-0914B242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628</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Creighton</dc:creator>
  <cp:keywords/>
  <dc:description/>
  <cp:lastModifiedBy>James Creighton</cp:lastModifiedBy>
  <cp:revision>3</cp:revision>
  <cp:lastPrinted>2020-07-02T22:36:00Z</cp:lastPrinted>
  <dcterms:created xsi:type="dcterms:W3CDTF">2020-09-29T04:04:00Z</dcterms:created>
  <dcterms:modified xsi:type="dcterms:W3CDTF">2020-09-29T04:31:00Z</dcterms:modified>
</cp:coreProperties>
</file>