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67626" w14:textId="00DFCB11" w:rsidR="00201734" w:rsidRPr="006B27E4" w:rsidRDefault="00423133" w:rsidP="00B12516">
      <w:pPr>
        <w:spacing w:after="0"/>
        <w:jc w:val="center"/>
        <w:rPr>
          <w:b/>
          <w:u w:val="single"/>
        </w:rPr>
      </w:pPr>
      <w:r>
        <w:rPr>
          <w:b/>
          <w:u w:val="single"/>
        </w:rPr>
        <w:t>Annual Recruiting Report - 202</w:t>
      </w:r>
      <w:r w:rsidR="00917780">
        <w:rPr>
          <w:b/>
          <w:u w:val="single"/>
        </w:rPr>
        <w:t>5</w:t>
      </w:r>
    </w:p>
    <w:p w14:paraId="637F70D6" w14:textId="77777777" w:rsidR="004414A3" w:rsidRDefault="004414A3" w:rsidP="000913E4">
      <w:pPr>
        <w:spacing w:after="0"/>
      </w:pPr>
    </w:p>
    <w:p w14:paraId="2B18A433" w14:textId="6A722180" w:rsidR="004414A3" w:rsidRDefault="006C7AC2" w:rsidP="000913E4">
      <w:pPr>
        <w:spacing w:after="0"/>
      </w:pPr>
      <w:r>
        <w:t xml:space="preserve">The most recent </w:t>
      </w:r>
      <w:r w:rsidR="007E0DAC">
        <w:t>C</w:t>
      </w:r>
      <w:r w:rsidR="00774C50">
        <w:t>ensus data</w:t>
      </w:r>
      <w:r w:rsidR="00B12516">
        <w:t xml:space="preserve"> has indicated that </w:t>
      </w:r>
      <w:r w:rsidR="000A0343">
        <w:t>South Windsor’s population</w:t>
      </w:r>
      <w:r w:rsidR="007E0DAC">
        <w:t xml:space="preserve">, totaling </w:t>
      </w:r>
      <w:r w:rsidR="00FF30F6">
        <w:t>2</w:t>
      </w:r>
      <w:r w:rsidR="00917780">
        <w:t>7,062</w:t>
      </w:r>
      <w:r w:rsidR="00FF30F6">
        <w:t>,</w:t>
      </w:r>
      <w:r w:rsidR="000A0343">
        <w:t xml:space="preserve"> consists of the following breakdown by Race and Hispanic Origin:</w:t>
      </w:r>
    </w:p>
    <w:p w14:paraId="6B6005ED" w14:textId="77777777" w:rsidR="00C422BB" w:rsidRDefault="00C422BB" w:rsidP="000913E4">
      <w:pPr>
        <w:spacing w:after="0"/>
      </w:pPr>
    </w:p>
    <w:p w14:paraId="5DD04749" w14:textId="1A67560F" w:rsidR="000A0343" w:rsidRDefault="00774C50" w:rsidP="000A0343">
      <w:pPr>
        <w:pStyle w:val="ListParagraph"/>
        <w:numPr>
          <w:ilvl w:val="0"/>
          <w:numId w:val="1"/>
        </w:numPr>
        <w:spacing w:after="0"/>
      </w:pPr>
      <w:r>
        <w:t xml:space="preserve">White </w:t>
      </w:r>
      <w:r w:rsidR="00FF30F6">
        <w:t>(alone) – 6</w:t>
      </w:r>
      <w:r w:rsidR="00917780">
        <w:t>6</w:t>
      </w:r>
      <w:r w:rsidR="00FF30F6">
        <w:t>.</w:t>
      </w:r>
      <w:r w:rsidR="00917780">
        <w:t>1</w:t>
      </w:r>
      <w:r w:rsidR="000A0343">
        <w:t>%</w:t>
      </w:r>
    </w:p>
    <w:p w14:paraId="1A4BB4D5" w14:textId="42869CE5" w:rsidR="000A0343" w:rsidRDefault="00FF30F6" w:rsidP="000A0343">
      <w:pPr>
        <w:pStyle w:val="ListParagraph"/>
        <w:numPr>
          <w:ilvl w:val="0"/>
          <w:numId w:val="1"/>
        </w:numPr>
        <w:spacing w:after="0"/>
      </w:pPr>
      <w:r>
        <w:t xml:space="preserve">Asian (alone) – </w:t>
      </w:r>
      <w:r w:rsidR="00917780">
        <w:t>22.3</w:t>
      </w:r>
      <w:r w:rsidR="000A0343">
        <w:t>%</w:t>
      </w:r>
    </w:p>
    <w:p w14:paraId="656505C6" w14:textId="750BE73B" w:rsidR="000A0343" w:rsidRDefault="00774C50" w:rsidP="000A0343">
      <w:pPr>
        <w:pStyle w:val="ListParagraph"/>
        <w:numPr>
          <w:ilvl w:val="0"/>
          <w:numId w:val="1"/>
        </w:numPr>
        <w:spacing w:after="0"/>
      </w:pPr>
      <w:r>
        <w:t>Hispanic or Latino</w:t>
      </w:r>
      <w:r w:rsidR="00FF30F6">
        <w:t xml:space="preserve"> (Any race)</w:t>
      </w:r>
      <w:r>
        <w:t xml:space="preserve"> – </w:t>
      </w:r>
      <w:r w:rsidR="00917780">
        <w:t>6.2</w:t>
      </w:r>
      <w:r w:rsidR="000A0343">
        <w:t>%</w:t>
      </w:r>
    </w:p>
    <w:p w14:paraId="6F9B782F" w14:textId="5A64B401" w:rsidR="000A0343" w:rsidRDefault="000A0343" w:rsidP="000A0343">
      <w:pPr>
        <w:pStyle w:val="ListParagraph"/>
        <w:numPr>
          <w:ilvl w:val="0"/>
          <w:numId w:val="1"/>
        </w:numPr>
        <w:spacing w:after="0"/>
      </w:pPr>
      <w:r>
        <w:t>Black o</w:t>
      </w:r>
      <w:r w:rsidR="00FF30F6">
        <w:t xml:space="preserve">r African American (alone) – </w:t>
      </w:r>
      <w:r w:rsidR="00917780">
        <w:t>3.7</w:t>
      </w:r>
      <w:r>
        <w:t>%</w:t>
      </w:r>
    </w:p>
    <w:p w14:paraId="3A5E9B8F" w14:textId="648F2B3A" w:rsidR="000A0343" w:rsidRDefault="00FF30F6" w:rsidP="000A0343">
      <w:pPr>
        <w:pStyle w:val="ListParagraph"/>
        <w:numPr>
          <w:ilvl w:val="0"/>
          <w:numId w:val="1"/>
        </w:numPr>
        <w:spacing w:after="0"/>
      </w:pPr>
      <w:r>
        <w:t xml:space="preserve">Two or More Races – </w:t>
      </w:r>
      <w:r w:rsidR="00917780">
        <w:t>6.3</w:t>
      </w:r>
      <w:r w:rsidR="000A0343">
        <w:t>%</w:t>
      </w:r>
    </w:p>
    <w:p w14:paraId="5A8299C9" w14:textId="77777777" w:rsidR="002F651F" w:rsidRDefault="002F651F" w:rsidP="002F651F">
      <w:pPr>
        <w:spacing w:after="0"/>
      </w:pPr>
    </w:p>
    <w:p w14:paraId="5F528FE1" w14:textId="0D1F8439" w:rsidR="002F651F" w:rsidRDefault="002F651F" w:rsidP="002F651F">
      <w:pPr>
        <w:spacing w:after="0"/>
      </w:pPr>
      <w:r>
        <w:t xml:space="preserve">As of </w:t>
      </w:r>
      <w:r w:rsidR="00917780">
        <w:t xml:space="preserve">Wednesday, </w:t>
      </w:r>
      <w:r w:rsidR="00FF30F6">
        <w:t xml:space="preserve">December </w:t>
      </w:r>
      <w:r w:rsidR="00917780">
        <w:t>31st</w:t>
      </w:r>
      <w:r w:rsidR="00FF30F6">
        <w:t>, 202</w:t>
      </w:r>
      <w:r w:rsidR="00917780">
        <w:t>5</w:t>
      </w:r>
      <w:r>
        <w:t>, our department has 4</w:t>
      </w:r>
      <w:r w:rsidR="00917780">
        <w:t>7</w:t>
      </w:r>
      <w:r w:rsidR="00774C50">
        <w:t xml:space="preserve"> sworn officers</w:t>
      </w:r>
      <w:r w:rsidR="00897402">
        <w:t xml:space="preserve"> and </w:t>
      </w:r>
      <w:r w:rsidR="00263A60">
        <w:t>one opening</w:t>
      </w:r>
      <w:r>
        <w:t>. Our current Department breakdown by race</w:t>
      </w:r>
      <w:r w:rsidR="008F6BAB">
        <w:t>/gender</w:t>
      </w:r>
      <w:r>
        <w:t xml:space="preserve"> is as follows:</w:t>
      </w:r>
    </w:p>
    <w:p w14:paraId="7D669F19" w14:textId="77777777" w:rsidR="0097411E" w:rsidRDefault="0097411E" w:rsidP="002F651F">
      <w:pPr>
        <w:spacing w:after="0"/>
      </w:pPr>
    </w:p>
    <w:p w14:paraId="64F285A7" w14:textId="77777777" w:rsidR="002F651F" w:rsidRDefault="0097411E" w:rsidP="002F651F">
      <w:pPr>
        <w:spacing w:after="0"/>
      </w:pPr>
      <w:r>
        <w:t>Race:</w:t>
      </w:r>
    </w:p>
    <w:p w14:paraId="46FE565F" w14:textId="503B63A0" w:rsidR="002F651F" w:rsidRDefault="00FF30F6" w:rsidP="002F651F">
      <w:pPr>
        <w:pStyle w:val="ListParagraph"/>
        <w:numPr>
          <w:ilvl w:val="0"/>
          <w:numId w:val="4"/>
        </w:numPr>
        <w:spacing w:after="0"/>
      </w:pPr>
      <w:r>
        <w:t>White – 4</w:t>
      </w:r>
      <w:r w:rsidR="00263A60">
        <w:t>2</w:t>
      </w:r>
      <w:r>
        <w:t xml:space="preserve"> (8</w:t>
      </w:r>
      <w:r w:rsidR="00897402">
        <w:t>9</w:t>
      </w:r>
      <w:r>
        <w:t>.</w:t>
      </w:r>
      <w:r w:rsidR="00263A60">
        <w:t>3</w:t>
      </w:r>
      <w:r w:rsidR="008F6BAB">
        <w:t>%)</w:t>
      </w:r>
    </w:p>
    <w:p w14:paraId="26445A46" w14:textId="2CEB2867" w:rsidR="008F6BAB" w:rsidRDefault="00A7095F" w:rsidP="002F651F">
      <w:pPr>
        <w:pStyle w:val="ListParagraph"/>
        <w:numPr>
          <w:ilvl w:val="0"/>
          <w:numId w:val="4"/>
        </w:numPr>
        <w:spacing w:after="0"/>
      </w:pPr>
      <w:r>
        <w:t>Black –</w:t>
      </w:r>
      <w:r w:rsidR="00FF30F6">
        <w:t xml:space="preserve"> </w:t>
      </w:r>
      <w:r w:rsidR="00263A60">
        <w:t xml:space="preserve">1 </w:t>
      </w:r>
      <w:r w:rsidR="00FF30F6">
        <w:t>(</w:t>
      </w:r>
      <w:r w:rsidR="00263A60">
        <w:t>2.1 %)</w:t>
      </w:r>
    </w:p>
    <w:p w14:paraId="2747E827" w14:textId="2DD58239" w:rsidR="008F6BAB" w:rsidRDefault="0097411E" w:rsidP="002F651F">
      <w:pPr>
        <w:pStyle w:val="ListParagraph"/>
        <w:numPr>
          <w:ilvl w:val="0"/>
          <w:numId w:val="4"/>
        </w:numPr>
        <w:spacing w:after="0"/>
      </w:pPr>
      <w:r>
        <w:t>Hispanic – 2 (4.</w:t>
      </w:r>
      <w:r w:rsidR="00263A60">
        <w:t>2%</w:t>
      </w:r>
      <w:r w:rsidR="008F6BAB">
        <w:t>)</w:t>
      </w:r>
    </w:p>
    <w:p w14:paraId="44DAEB23" w14:textId="6E4A37BD" w:rsidR="00263A60" w:rsidRDefault="00263A60" w:rsidP="002F651F">
      <w:pPr>
        <w:pStyle w:val="ListParagraph"/>
        <w:numPr>
          <w:ilvl w:val="0"/>
          <w:numId w:val="4"/>
        </w:numPr>
        <w:spacing w:after="0"/>
      </w:pPr>
      <w:r>
        <w:t>Asian – 1 (2.1 %)</w:t>
      </w:r>
    </w:p>
    <w:p w14:paraId="0CA1E6E7" w14:textId="77777777" w:rsidR="0097411E" w:rsidRDefault="0097411E" w:rsidP="0097411E">
      <w:pPr>
        <w:spacing w:after="0"/>
      </w:pPr>
    </w:p>
    <w:p w14:paraId="3A23F161" w14:textId="77777777" w:rsidR="0097411E" w:rsidRDefault="0097411E" w:rsidP="0097411E">
      <w:pPr>
        <w:spacing w:after="0"/>
      </w:pPr>
      <w:r>
        <w:t>Gender</w:t>
      </w:r>
    </w:p>
    <w:p w14:paraId="0FEFD854" w14:textId="1927BE8A" w:rsidR="0097411E" w:rsidRDefault="0097411E" w:rsidP="0097411E">
      <w:pPr>
        <w:pStyle w:val="ListParagraph"/>
        <w:numPr>
          <w:ilvl w:val="0"/>
          <w:numId w:val="5"/>
        </w:numPr>
        <w:spacing w:after="0"/>
      </w:pPr>
      <w:r>
        <w:t xml:space="preserve">Male – </w:t>
      </w:r>
      <w:r w:rsidR="007E3ACF">
        <w:t>36</w:t>
      </w:r>
      <w:r>
        <w:t xml:space="preserve"> (</w:t>
      </w:r>
      <w:r w:rsidR="007E3ACF">
        <w:t>76.5</w:t>
      </w:r>
      <w:r>
        <w:t>%)</w:t>
      </w:r>
    </w:p>
    <w:p w14:paraId="7F4AC9EE" w14:textId="23605B75" w:rsidR="0097411E" w:rsidRDefault="0097411E" w:rsidP="0097411E">
      <w:pPr>
        <w:pStyle w:val="ListParagraph"/>
        <w:numPr>
          <w:ilvl w:val="0"/>
          <w:numId w:val="5"/>
        </w:numPr>
        <w:spacing w:after="0"/>
      </w:pPr>
      <w:r>
        <w:t xml:space="preserve">Female – </w:t>
      </w:r>
      <w:r w:rsidR="007E3ACF">
        <w:t xml:space="preserve">10 </w:t>
      </w:r>
      <w:r>
        <w:t>(</w:t>
      </w:r>
      <w:r w:rsidR="007E3ACF">
        <w:t>21.2</w:t>
      </w:r>
      <w:r>
        <w:t>%)</w:t>
      </w:r>
    </w:p>
    <w:p w14:paraId="7331B13C" w14:textId="77777777" w:rsidR="000A0343" w:rsidRDefault="000A0343" w:rsidP="000A0343">
      <w:pPr>
        <w:spacing w:after="0"/>
      </w:pPr>
    </w:p>
    <w:p w14:paraId="54693BB7" w14:textId="0822409A" w:rsidR="00DA6F5C" w:rsidRDefault="000A0343" w:rsidP="000A0343">
      <w:pPr>
        <w:spacing w:after="0"/>
      </w:pPr>
      <w:r>
        <w:t>The South Windsor Police Department has made a concerted effort</w:t>
      </w:r>
      <w:r w:rsidR="00C422BB">
        <w:t xml:space="preserve"> over the last </w:t>
      </w:r>
      <w:r w:rsidR="001A316F">
        <w:t xml:space="preserve">several </w:t>
      </w:r>
      <w:r w:rsidR="00C422BB">
        <w:t>year</w:t>
      </w:r>
      <w:r w:rsidR="001A316F">
        <w:t>s</w:t>
      </w:r>
      <w:r>
        <w:t xml:space="preserve"> to </w:t>
      </w:r>
      <w:r w:rsidR="00C422BB">
        <w:t>reach out and establish direct and consistent contact</w:t>
      </w:r>
      <w:r w:rsidR="00497C0F">
        <w:t>, both</w:t>
      </w:r>
      <w:r w:rsidR="00C422BB">
        <w:t xml:space="preserve"> in town and regionally</w:t>
      </w:r>
      <w:r w:rsidR="00497C0F">
        <w:t>,</w:t>
      </w:r>
      <w:r w:rsidR="00C422BB">
        <w:t xml:space="preserve"> with minorities in order to bolster our ranks to better mirror the community we police.</w:t>
      </w:r>
      <w:r w:rsidR="00A7095F">
        <w:t xml:space="preserve"> </w:t>
      </w:r>
      <w:r w:rsidR="00C422BB">
        <w:t xml:space="preserve">  </w:t>
      </w:r>
      <w:r w:rsidR="00DA6F5C">
        <w:t>South Windsor’s largest minority</w:t>
      </w:r>
      <w:r w:rsidR="001D2E6F">
        <w:t xml:space="preserve"> group</w:t>
      </w:r>
      <w:r w:rsidR="00DA6F5C">
        <w:t xml:space="preserve"> consists of Asian individuals whose heritage traces back to regions within southwest Asia.  The Department continues to seek ways to actively recruit members of this demographic as described below.  It is our hope that through these persistent recruiting efforts we will be able to better represent this segment of our community within our ranks.</w:t>
      </w:r>
      <w:r w:rsidR="004A2B15">
        <w:t xml:space="preserve">  We are pleased to report that in 2025, our agency hired an officer who represents this demographic.</w:t>
      </w:r>
    </w:p>
    <w:p w14:paraId="11487075" w14:textId="77777777" w:rsidR="004A2B15" w:rsidRDefault="004A2B15" w:rsidP="00D9419D">
      <w:pPr>
        <w:spacing w:after="0"/>
      </w:pPr>
    </w:p>
    <w:p w14:paraId="6DC5EE0C" w14:textId="0896323A" w:rsidR="00C67D32" w:rsidRDefault="00897402" w:rsidP="00D9419D">
      <w:pPr>
        <w:spacing w:after="0"/>
      </w:pPr>
      <w:r>
        <w:t>Information related to our</w:t>
      </w:r>
      <w:r w:rsidR="004A2B15">
        <w:t xml:space="preserve"> recruiting</w:t>
      </w:r>
      <w:r>
        <w:t xml:space="preserve"> efforts can be found on the following pages.</w:t>
      </w:r>
      <w:r w:rsidR="00092F08">
        <w:t xml:space="preserve">  This report is concluded with a demographic breakdown of the applications we received for our most recent hiring window.</w:t>
      </w:r>
    </w:p>
    <w:p w14:paraId="5D4A3320" w14:textId="1BC47B40" w:rsidR="00D9419D" w:rsidRDefault="00D9419D" w:rsidP="00D9419D">
      <w:pPr>
        <w:spacing w:after="0"/>
      </w:pPr>
    </w:p>
    <w:p w14:paraId="5BB9051D" w14:textId="77777777" w:rsidR="00897402" w:rsidRPr="00D9419D" w:rsidRDefault="00897402" w:rsidP="00D9419D">
      <w:pPr>
        <w:spacing w:after="0"/>
      </w:pPr>
    </w:p>
    <w:p w14:paraId="02983AB4" w14:textId="77777777" w:rsidR="00C67D32" w:rsidRDefault="00C67D32" w:rsidP="002F651F">
      <w:pPr>
        <w:spacing w:after="0"/>
        <w:ind w:left="720"/>
        <w:rPr>
          <w:b/>
          <w:u w:val="single"/>
        </w:rPr>
      </w:pPr>
    </w:p>
    <w:p w14:paraId="2510CA55" w14:textId="77777777" w:rsidR="00C67D32" w:rsidRDefault="00C67D32" w:rsidP="002F651F">
      <w:pPr>
        <w:spacing w:after="0"/>
        <w:ind w:left="720"/>
        <w:rPr>
          <w:b/>
          <w:u w:val="single"/>
        </w:rPr>
      </w:pPr>
    </w:p>
    <w:p w14:paraId="102EE88A" w14:textId="77777777" w:rsidR="00C67D32" w:rsidRDefault="00C67D32" w:rsidP="002F651F">
      <w:pPr>
        <w:spacing w:after="0"/>
        <w:ind w:left="720"/>
        <w:rPr>
          <w:b/>
          <w:u w:val="single"/>
        </w:rPr>
      </w:pPr>
    </w:p>
    <w:p w14:paraId="729BAF73" w14:textId="77777777" w:rsidR="00C67D32" w:rsidRDefault="00C67D32" w:rsidP="002F651F">
      <w:pPr>
        <w:spacing w:after="0"/>
        <w:ind w:left="720"/>
        <w:rPr>
          <w:b/>
          <w:u w:val="single"/>
        </w:rPr>
      </w:pPr>
    </w:p>
    <w:p w14:paraId="59A6CD41" w14:textId="77777777" w:rsidR="00C67D32" w:rsidRDefault="00C67D32" w:rsidP="002F651F">
      <w:pPr>
        <w:spacing w:after="0"/>
        <w:ind w:left="720"/>
        <w:rPr>
          <w:b/>
          <w:u w:val="single"/>
        </w:rPr>
      </w:pPr>
    </w:p>
    <w:p w14:paraId="6F1D27D4" w14:textId="77777777" w:rsidR="00C67D32" w:rsidRDefault="00C67D32" w:rsidP="002F651F">
      <w:pPr>
        <w:spacing w:after="0"/>
        <w:ind w:left="720"/>
        <w:rPr>
          <w:b/>
          <w:u w:val="single"/>
        </w:rPr>
      </w:pPr>
    </w:p>
    <w:p w14:paraId="4C8DDB76" w14:textId="77777777" w:rsidR="00C67D32" w:rsidRDefault="00C67D32" w:rsidP="002F651F">
      <w:pPr>
        <w:spacing w:after="0"/>
        <w:ind w:left="720"/>
        <w:rPr>
          <w:b/>
          <w:u w:val="single"/>
        </w:rPr>
      </w:pPr>
    </w:p>
    <w:p w14:paraId="792929FC" w14:textId="77777777" w:rsidR="000A0343" w:rsidRPr="006B27E4" w:rsidRDefault="00C67D32" w:rsidP="00C67D32">
      <w:pPr>
        <w:spacing w:after="0"/>
        <w:rPr>
          <w:b/>
          <w:u w:val="single"/>
        </w:rPr>
      </w:pPr>
      <w:r>
        <w:rPr>
          <w:b/>
          <w:u w:val="single"/>
        </w:rPr>
        <w:t>College Recruiting</w:t>
      </w:r>
      <w:r w:rsidR="00C27A8F">
        <w:rPr>
          <w:b/>
          <w:u w:val="single"/>
        </w:rPr>
        <w:t>:</w:t>
      </w:r>
    </w:p>
    <w:p w14:paraId="3B3CACDF" w14:textId="576FC5C5" w:rsidR="009764B8" w:rsidRDefault="00C67D32" w:rsidP="00C67D32">
      <w:pPr>
        <w:spacing w:after="0"/>
        <w:ind w:firstLine="720"/>
      </w:pPr>
      <w:r>
        <w:t>W</w:t>
      </w:r>
      <w:r w:rsidR="00497C0F">
        <w:t>e</w:t>
      </w:r>
      <w:r>
        <w:t xml:space="preserve"> have</w:t>
      </w:r>
      <w:r w:rsidR="00497C0F">
        <w:t xml:space="preserve"> established</w:t>
      </w:r>
      <w:r>
        <w:t xml:space="preserve"> and maintained</w:t>
      </w:r>
      <w:r w:rsidR="00497C0F">
        <w:t xml:space="preserve"> contact with the University of Hartford, CCSU,</w:t>
      </w:r>
      <w:r w:rsidR="001A316F">
        <w:t xml:space="preserve"> and</w:t>
      </w:r>
      <w:r w:rsidR="00497C0F">
        <w:t xml:space="preserve"> ECSU</w:t>
      </w:r>
      <w:r w:rsidR="001A316F">
        <w:t xml:space="preserve">, </w:t>
      </w:r>
      <w:r>
        <w:t>and</w:t>
      </w:r>
      <w:r w:rsidR="00897402">
        <w:t xml:space="preserve"> </w:t>
      </w:r>
      <w:r>
        <w:t xml:space="preserve">attended career fairs </w:t>
      </w:r>
      <w:r w:rsidR="00FF30F6">
        <w:t>at each location during the 202</w:t>
      </w:r>
      <w:r w:rsidR="006F51CA">
        <w:t>5</w:t>
      </w:r>
      <w:r>
        <w:t xml:space="preserve"> calendar year.  </w:t>
      </w:r>
      <w:r w:rsidR="006B27E4">
        <w:t>This contact list will be updated yearly to ensure we are in touch with the right individuals at each college and university so we can continue to build relationships and identify potential police candidates.</w:t>
      </w:r>
    </w:p>
    <w:p w14:paraId="21C0B876" w14:textId="170C27CA" w:rsidR="00C67D32" w:rsidRDefault="00FF30F6" w:rsidP="00C67D32">
      <w:pPr>
        <w:spacing w:after="0"/>
        <w:ind w:firstLine="720"/>
      </w:pPr>
      <w:r>
        <w:t xml:space="preserve">During the summer of 2023, we established our </w:t>
      </w:r>
      <w:r w:rsidR="001A316F">
        <w:t>internship</w:t>
      </w:r>
      <w:r>
        <w:t xml:space="preserve"> program </w:t>
      </w:r>
      <w:r w:rsidR="007428E8">
        <w:t>and</w:t>
      </w:r>
      <w:r w:rsidR="00897402">
        <w:t xml:space="preserve"> during 2024, we</w:t>
      </w:r>
      <w:r w:rsidR="007428E8">
        <w:t xml:space="preserve"> took on </w:t>
      </w:r>
      <w:r w:rsidR="00897402">
        <w:t>an intern from the University of Hartford in the Spring, University of Norwich in the Summer, and Eastern C</w:t>
      </w:r>
      <w:r w:rsidR="001A316F">
        <w:t>T</w:t>
      </w:r>
      <w:r w:rsidR="00897402">
        <w:t xml:space="preserve"> State University this past Fall.  </w:t>
      </w:r>
      <w:r w:rsidR="007428E8">
        <w:t>We are currently conducting oral boards to take on</w:t>
      </w:r>
      <w:r w:rsidR="00897402">
        <w:t xml:space="preserve"> an</w:t>
      </w:r>
      <w:r w:rsidR="007428E8">
        <w:t xml:space="preserve"> intern </w:t>
      </w:r>
      <w:r w:rsidR="00897402">
        <w:t>in</w:t>
      </w:r>
      <w:r w:rsidR="007428E8">
        <w:t xml:space="preserve"> </w:t>
      </w:r>
      <w:r w:rsidR="00897402">
        <w:t xml:space="preserve">the </w:t>
      </w:r>
      <w:r w:rsidR="001A316F">
        <w:t>S</w:t>
      </w:r>
      <w:r w:rsidR="007428E8">
        <w:t>pring</w:t>
      </w:r>
      <w:r w:rsidR="00897402">
        <w:t xml:space="preserve"> of 2025</w:t>
      </w:r>
      <w:r w:rsidR="007428E8">
        <w:t>.  We will continue the cycle of having 1-2 interns each semester, including the summer, to enhance our recruiting pipeline</w:t>
      </w:r>
      <w:r w:rsidR="00897402">
        <w:t>.</w:t>
      </w:r>
    </w:p>
    <w:p w14:paraId="79714B59" w14:textId="77777777" w:rsidR="009764B8" w:rsidRDefault="00C67D32" w:rsidP="00C67D32">
      <w:pPr>
        <w:spacing w:after="0"/>
        <w:ind w:firstLine="720"/>
      </w:pPr>
      <w:r>
        <w:t xml:space="preserve">We continue to use </w:t>
      </w:r>
      <w:r w:rsidR="009764B8">
        <w:t>Handshake (</w:t>
      </w:r>
      <w:r w:rsidR="009764B8" w:rsidRPr="00230592">
        <w:t>www.handshake.com</w:t>
      </w:r>
      <w:r w:rsidR="009764B8">
        <w:t xml:space="preserve">), which has allowed us access to a college recruiting and hiring network.  Our job postings were sent to graduating seniors and graduate students with direct links to our website and our </w:t>
      </w:r>
      <w:r w:rsidR="00A91664">
        <w:t>application page through Police</w:t>
      </w:r>
      <w:r w:rsidR="009764B8">
        <w:t xml:space="preserve">App.  </w:t>
      </w:r>
    </w:p>
    <w:p w14:paraId="5C87B713" w14:textId="77777777" w:rsidR="00430559" w:rsidRDefault="00430559" w:rsidP="00A162E5">
      <w:pPr>
        <w:spacing w:after="0"/>
      </w:pPr>
    </w:p>
    <w:p w14:paraId="5D873A07" w14:textId="77777777" w:rsidR="00430559" w:rsidRPr="006D221A" w:rsidRDefault="00092F08" w:rsidP="00C67D32">
      <w:pPr>
        <w:spacing w:after="0"/>
        <w:rPr>
          <w:b/>
          <w:u w:val="single"/>
        </w:rPr>
      </w:pPr>
      <w:r>
        <w:rPr>
          <w:b/>
          <w:u w:val="single"/>
        </w:rPr>
        <w:t>PoliceApp</w:t>
      </w:r>
      <w:r w:rsidR="00430559" w:rsidRPr="006D221A">
        <w:rPr>
          <w:b/>
          <w:u w:val="single"/>
        </w:rPr>
        <w:t>:</w:t>
      </w:r>
    </w:p>
    <w:p w14:paraId="27CA0E7D" w14:textId="10B29EB6" w:rsidR="009E5BC3" w:rsidRPr="00D9419D" w:rsidRDefault="00A47F19" w:rsidP="00D9419D">
      <w:pPr>
        <w:spacing w:after="0"/>
        <w:ind w:firstLine="720"/>
      </w:pPr>
      <w:r>
        <w:t xml:space="preserve">We signed up for PoliceApp’s marketing package, which allows PoliceApp to provide us with graphics and obtain access to their social media platforms for marketing purposes during active hiring windows.  Through </w:t>
      </w:r>
      <w:proofErr w:type="spellStart"/>
      <w:r>
        <w:t>PoliceApp</w:t>
      </w:r>
      <w:proofErr w:type="spellEnd"/>
      <w:r>
        <w:t xml:space="preserve">, we </w:t>
      </w:r>
      <w:r w:rsidR="004A2B15">
        <w:t>can</w:t>
      </w:r>
      <w:r>
        <w:t xml:space="preserve"> extend the reach of our hiring process, thus providing us with a more diverse candidate pool.</w:t>
      </w:r>
    </w:p>
    <w:p w14:paraId="0D9A9320" w14:textId="77777777" w:rsidR="009E5BC3" w:rsidRDefault="009E5BC3" w:rsidP="00C67D32">
      <w:pPr>
        <w:spacing w:after="0"/>
        <w:rPr>
          <w:b/>
          <w:u w:val="single"/>
        </w:rPr>
      </w:pPr>
    </w:p>
    <w:p w14:paraId="7E0AF190" w14:textId="77777777" w:rsidR="006D221A" w:rsidRPr="00230592" w:rsidRDefault="006D221A" w:rsidP="00C67D32">
      <w:pPr>
        <w:spacing w:after="0"/>
        <w:rPr>
          <w:b/>
          <w:u w:val="single"/>
        </w:rPr>
      </w:pPr>
      <w:r w:rsidRPr="00230592">
        <w:rPr>
          <w:b/>
          <w:u w:val="single"/>
        </w:rPr>
        <w:t>Community Outreach:</w:t>
      </w:r>
    </w:p>
    <w:p w14:paraId="6FBFB2A2" w14:textId="19542E98" w:rsidR="00090BF3" w:rsidRDefault="00041AF3" w:rsidP="00090BF3">
      <w:pPr>
        <w:spacing w:after="0"/>
        <w:ind w:firstLine="720"/>
      </w:pPr>
      <w:r>
        <w:t xml:space="preserve">Community Outreach/Recruiting Booths at local events </w:t>
      </w:r>
      <w:r w:rsidR="0090402D">
        <w:t>like the Strawberry Fest</w:t>
      </w:r>
      <w:r w:rsidR="0031202C">
        <w:t xml:space="preserve"> and</w:t>
      </w:r>
      <w:r w:rsidR="0090402D">
        <w:t xml:space="preserve"> National Night </w:t>
      </w:r>
      <w:r w:rsidR="00A162E5">
        <w:t>Out were</w:t>
      </w:r>
      <w:r w:rsidR="009E5BC3">
        <w:t xml:space="preserve"> staff</w:t>
      </w:r>
      <w:r w:rsidR="0090402D">
        <w:t>ed by department members in 202</w:t>
      </w:r>
      <w:r w:rsidR="004A2B15">
        <w:t>5</w:t>
      </w:r>
      <w:r w:rsidR="009E5BC3">
        <w:t xml:space="preserve">.  These are </w:t>
      </w:r>
      <w:r w:rsidR="004A2B15">
        <w:t>well-attended</w:t>
      </w:r>
      <w:r w:rsidR="009E5BC3">
        <w:t xml:space="preserve"> events and acted as a great opportunity to continue to connect with </w:t>
      </w:r>
      <w:r w:rsidR="00A91664">
        <w:t>our residents.</w:t>
      </w:r>
      <w:r w:rsidR="00090BF3">
        <w:t xml:space="preserve"> 2023 saw our agency add a </w:t>
      </w:r>
      <w:r w:rsidR="004A2B15">
        <w:t>full-time</w:t>
      </w:r>
      <w:r w:rsidR="00090BF3">
        <w:t xml:space="preserve"> Community Outreach Off</w:t>
      </w:r>
      <w:r w:rsidR="001D2E6F">
        <w:t>icer, responsible for coordinating</w:t>
      </w:r>
      <w:r w:rsidR="00090BF3">
        <w:t xml:space="preserve"> community events with other town departments and community organizers</w:t>
      </w:r>
      <w:r w:rsidR="00A47F19">
        <w:t xml:space="preserve"> in an effort to grow the relationship between prospective police candidates and the department.  </w:t>
      </w:r>
    </w:p>
    <w:p w14:paraId="4DF791A4" w14:textId="2830DB60" w:rsidR="00A47F19" w:rsidRDefault="008A4CD6" w:rsidP="00090BF3">
      <w:pPr>
        <w:spacing w:after="0"/>
        <w:ind w:firstLine="720"/>
      </w:pPr>
      <w:r w:rsidRPr="00087D75">
        <w:t xml:space="preserve">Department personnel </w:t>
      </w:r>
      <w:r w:rsidR="00230592" w:rsidRPr="00087D75">
        <w:t>recently attended 1</w:t>
      </w:r>
      <w:r w:rsidR="00230592" w:rsidRPr="00087D75">
        <w:rPr>
          <w:vertAlign w:val="superscript"/>
        </w:rPr>
        <w:t>st</w:t>
      </w:r>
      <w:r w:rsidR="00230592" w:rsidRPr="00087D75">
        <w:t xml:space="preserve"> Responder’s Day at the CREC Academy of International Studies (625 </w:t>
      </w:r>
      <w:r w:rsidR="0090402D" w:rsidRPr="00087D75">
        <w:t>Chapel Road, South Windsor) and</w:t>
      </w:r>
      <w:r w:rsidR="0040176B" w:rsidRPr="00087D75">
        <w:t xml:space="preserve"> </w:t>
      </w:r>
      <w:r w:rsidR="00230592" w:rsidRPr="00087D75">
        <w:t xml:space="preserve">Career Day at </w:t>
      </w:r>
      <w:r w:rsidR="004F7347" w:rsidRPr="00087D75">
        <w:t>the South Windsor High School</w:t>
      </w:r>
      <w:r w:rsidR="00C3611B" w:rsidRPr="00087D75">
        <w:t xml:space="preserve"> </w:t>
      </w:r>
      <w:r w:rsidR="004F7347" w:rsidRPr="00087D75">
        <w:t xml:space="preserve"> (This read Middle school before, I changed to high school) i</w:t>
      </w:r>
      <w:r w:rsidR="00C3611B" w:rsidRPr="00087D75">
        <w:t>n 202</w:t>
      </w:r>
      <w:r w:rsidR="004F7347" w:rsidRPr="00087D75">
        <w:t>5</w:t>
      </w:r>
      <w:r w:rsidR="00230592" w:rsidRPr="00087D75">
        <w:t xml:space="preserve">.  These are events we intend to </w:t>
      </w:r>
      <w:r w:rsidR="0040176B" w:rsidRPr="00087D75">
        <w:t xml:space="preserve">continue to </w:t>
      </w:r>
      <w:r w:rsidR="00230592" w:rsidRPr="00087D75">
        <w:t xml:space="preserve">participate in on a yearly basis to lay the </w:t>
      </w:r>
      <w:r w:rsidR="00A47F19" w:rsidRPr="00087D75">
        <w:t>groundwork</w:t>
      </w:r>
      <w:r w:rsidR="00230592" w:rsidRPr="00087D75">
        <w:t xml:space="preserve"> to establish relationships with youths in our town that can hopeful</w:t>
      </w:r>
      <w:r w:rsidR="00675F51" w:rsidRPr="00087D75">
        <w:t>ly</w:t>
      </w:r>
      <w:r w:rsidR="00230592" w:rsidRPr="00087D75">
        <w:t xml:space="preserve"> result in our own residents developing a desire to po</w:t>
      </w:r>
      <w:r w:rsidR="00675F51" w:rsidRPr="00087D75">
        <w:t>lice in the community they live</w:t>
      </w:r>
      <w:r w:rsidR="00230592" w:rsidRPr="00087D75">
        <w:t xml:space="preserve"> in.</w:t>
      </w:r>
      <w:r w:rsidR="00A47F19" w:rsidRPr="00087D75">
        <w:t xml:space="preserve">  </w:t>
      </w:r>
    </w:p>
    <w:p w14:paraId="329089B3" w14:textId="77777777" w:rsidR="00A47F19" w:rsidRDefault="00A47F19" w:rsidP="00090BF3">
      <w:pPr>
        <w:spacing w:after="0"/>
        <w:ind w:firstLine="720"/>
      </w:pPr>
    </w:p>
    <w:p w14:paraId="0E75C16D" w14:textId="3542790B" w:rsidR="00230592" w:rsidRDefault="00230592" w:rsidP="002F651F">
      <w:pPr>
        <w:spacing w:after="0"/>
        <w:ind w:left="720"/>
      </w:pPr>
    </w:p>
    <w:p w14:paraId="522A7236" w14:textId="10EAC2B2" w:rsidR="00A162E5" w:rsidRDefault="00A162E5" w:rsidP="002F651F">
      <w:pPr>
        <w:spacing w:after="0"/>
        <w:ind w:left="720"/>
      </w:pPr>
    </w:p>
    <w:p w14:paraId="193BD56C" w14:textId="277750E6" w:rsidR="00A162E5" w:rsidRDefault="00A162E5" w:rsidP="002F651F">
      <w:pPr>
        <w:spacing w:after="0"/>
        <w:ind w:left="720"/>
      </w:pPr>
    </w:p>
    <w:p w14:paraId="27675808" w14:textId="42A8E187" w:rsidR="00A162E5" w:rsidRDefault="00A162E5" w:rsidP="002F651F">
      <w:pPr>
        <w:spacing w:after="0"/>
        <w:ind w:left="720"/>
      </w:pPr>
    </w:p>
    <w:p w14:paraId="63E0E1D7" w14:textId="77777777" w:rsidR="00A162E5" w:rsidRDefault="00A162E5" w:rsidP="002F651F">
      <w:pPr>
        <w:spacing w:after="0"/>
        <w:ind w:left="720"/>
      </w:pPr>
    </w:p>
    <w:p w14:paraId="7775CCB9" w14:textId="7D3BBCAE" w:rsidR="00A162E5" w:rsidRDefault="00A162E5" w:rsidP="002F651F">
      <w:pPr>
        <w:spacing w:after="0"/>
        <w:ind w:left="720"/>
      </w:pPr>
    </w:p>
    <w:p w14:paraId="77C25991" w14:textId="75F30157" w:rsidR="00A162E5" w:rsidRDefault="00A162E5" w:rsidP="002F651F">
      <w:pPr>
        <w:spacing w:after="0"/>
        <w:ind w:left="720"/>
      </w:pPr>
    </w:p>
    <w:p w14:paraId="06875594" w14:textId="77777777" w:rsidR="00A162E5" w:rsidRDefault="00A162E5" w:rsidP="002F651F">
      <w:pPr>
        <w:spacing w:after="0"/>
        <w:ind w:left="720"/>
      </w:pPr>
    </w:p>
    <w:p w14:paraId="568A1FB4" w14:textId="77777777" w:rsidR="00230592" w:rsidRPr="00230592" w:rsidRDefault="00230592" w:rsidP="0040176B">
      <w:pPr>
        <w:spacing w:after="0"/>
        <w:rPr>
          <w:b/>
          <w:u w:val="single"/>
        </w:rPr>
      </w:pPr>
      <w:r w:rsidRPr="00230592">
        <w:rPr>
          <w:b/>
          <w:u w:val="single"/>
        </w:rPr>
        <w:t>Social Media:</w:t>
      </w:r>
    </w:p>
    <w:p w14:paraId="0BEF2392" w14:textId="02008C65" w:rsidR="0040176B" w:rsidRDefault="00230592" w:rsidP="0040176B">
      <w:pPr>
        <w:spacing w:after="0"/>
        <w:ind w:firstLine="720"/>
      </w:pPr>
      <w:r>
        <w:lastRenderedPageBreak/>
        <w:t>We have established a consistent social media pres</w:t>
      </w:r>
      <w:r w:rsidR="002F651F">
        <w:t>ence on Facebook, Instagram,</w:t>
      </w:r>
      <w:r>
        <w:t xml:space="preserve"> YouTube (@So</w:t>
      </w:r>
      <w:r w:rsidR="0040176B">
        <w:t xml:space="preserve">uthWindsorPoliceDepartment), </w:t>
      </w:r>
      <w:r w:rsidR="00C3611B">
        <w:t>X</w:t>
      </w:r>
      <w:r>
        <w:t xml:space="preserve"> (@SWPD_PIO)</w:t>
      </w:r>
      <w:r w:rsidR="00C3611B">
        <w:t xml:space="preserve">, and </w:t>
      </w:r>
      <w:r w:rsidR="0040176B">
        <w:t>LinkedIn</w:t>
      </w:r>
      <w:r>
        <w:t xml:space="preserve">.  </w:t>
      </w:r>
      <w:r w:rsidR="002F651F">
        <w:t>The goal of this presence is to show our citizens that along with law enforcement, community engagement is a primary goal of our agency.  This engagement can be a helpful tool in recruiting and hiring.  Social Media has been a focal point in our recruiting efforts and will likely become our primary source of recruiting as we move forward.</w:t>
      </w:r>
      <w:r w:rsidR="00090BF3">
        <w:t xml:space="preserve">  During 2022</w:t>
      </w:r>
      <w:r w:rsidR="0040176B">
        <w:t xml:space="preserve">, we conducted paid advertising of our recruiting and hiring efforts via Facebook/Instagram.  </w:t>
      </w:r>
      <w:r w:rsidR="00090BF3">
        <w:t>Although we did not conduct paid advertising in 202</w:t>
      </w:r>
      <w:r w:rsidR="004F7347">
        <w:t>5</w:t>
      </w:r>
      <w:r w:rsidR="00090BF3">
        <w:t>, we will continue to use this option as necessary, as t</w:t>
      </w:r>
      <w:r w:rsidR="0040176B">
        <w:t xml:space="preserve">hese advertising posts provide us with tangible data related to how many </w:t>
      </w:r>
      <w:r w:rsidR="001A316F">
        <w:t>“</w:t>
      </w:r>
      <w:r w:rsidR="0040176B">
        <w:t>clicks</w:t>
      </w:r>
      <w:r w:rsidR="001A316F">
        <w:t>”</w:t>
      </w:r>
      <w:r w:rsidR="0040176B">
        <w:t xml:space="preserve"> </w:t>
      </w:r>
      <w:r w:rsidR="00A162E5">
        <w:t>we have</w:t>
      </w:r>
      <w:r w:rsidR="0040176B">
        <w:t xml:space="preserve"> received on each post and how much traffic it has driven to our website and our PoliceApp hiring page. </w:t>
      </w:r>
    </w:p>
    <w:p w14:paraId="70345015" w14:textId="77777777" w:rsidR="0040176B" w:rsidRDefault="0040176B" w:rsidP="0040176B">
      <w:pPr>
        <w:spacing w:after="0"/>
        <w:ind w:firstLine="720"/>
      </w:pPr>
    </w:p>
    <w:p w14:paraId="21F130BD" w14:textId="0211A092" w:rsidR="0040176B" w:rsidRDefault="00090BF3" w:rsidP="0040176B">
      <w:pPr>
        <w:rPr>
          <w:b/>
          <w:u w:val="single"/>
        </w:rPr>
      </w:pPr>
      <w:r>
        <w:rPr>
          <w:b/>
          <w:u w:val="single"/>
        </w:rPr>
        <w:t>202</w:t>
      </w:r>
      <w:r w:rsidR="004F7347">
        <w:rPr>
          <w:b/>
          <w:u w:val="single"/>
        </w:rPr>
        <w:t>5</w:t>
      </w:r>
      <w:r w:rsidR="0040176B" w:rsidRPr="0040176B">
        <w:rPr>
          <w:b/>
          <w:u w:val="single"/>
        </w:rPr>
        <w:t xml:space="preserve"> Applicant Demographic Summary:</w:t>
      </w:r>
    </w:p>
    <w:p w14:paraId="3CE786EC" w14:textId="2469440B" w:rsidR="00092F08" w:rsidRDefault="0031202C" w:rsidP="00092F08">
      <w:pPr>
        <w:ind w:firstLine="720"/>
      </w:pPr>
      <w:r w:rsidRPr="004F7347">
        <w:rPr>
          <w:highlight w:val="yellow"/>
        </w:rPr>
        <w:t>As previously explained, we were full</w:t>
      </w:r>
      <w:r w:rsidR="001A316F" w:rsidRPr="004F7347">
        <w:rPr>
          <w:highlight w:val="yellow"/>
        </w:rPr>
        <w:t>y</w:t>
      </w:r>
      <w:r w:rsidRPr="004F7347">
        <w:rPr>
          <w:highlight w:val="yellow"/>
        </w:rPr>
        <w:t xml:space="preserve"> staffed for the majority of 2024.  We have a retirement that will be effective 12/31/24 and have replaced that retiree with an officer who will be sworn in on 12/23/24 and attend the POSTC Academy on </w:t>
      </w:r>
      <w:r w:rsidR="001A316F" w:rsidRPr="004F7347">
        <w:rPr>
          <w:highlight w:val="yellow"/>
        </w:rPr>
        <w:t>01/2/</w:t>
      </w:r>
      <w:r w:rsidRPr="004F7347">
        <w:rPr>
          <w:highlight w:val="yellow"/>
        </w:rPr>
        <w:t xml:space="preserve">25.  </w:t>
      </w:r>
      <w:r w:rsidR="0040176B" w:rsidRPr="004F7347">
        <w:rPr>
          <w:highlight w:val="yellow"/>
        </w:rPr>
        <w:t xml:space="preserve">Below is a breakdown of </w:t>
      </w:r>
      <w:r w:rsidR="00092F08" w:rsidRPr="004F7347">
        <w:rPr>
          <w:highlight w:val="yellow"/>
        </w:rPr>
        <w:t>th</w:t>
      </w:r>
      <w:r w:rsidRPr="004F7347">
        <w:rPr>
          <w:highlight w:val="yellow"/>
        </w:rPr>
        <w:t>e</w:t>
      </w:r>
      <w:r w:rsidR="00092F08" w:rsidRPr="004F7347">
        <w:rPr>
          <w:highlight w:val="yellow"/>
        </w:rPr>
        <w:t xml:space="preserve"> applicants</w:t>
      </w:r>
      <w:r w:rsidR="001A316F" w:rsidRPr="004F7347">
        <w:rPr>
          <w:highlight w:val="yellow"/>
        </w:rPr>
        <w:t>, via PoliceApp</w:t>
      </w:r>
      <w:r w:rsidRPr="004F7347">
        <w:rPr>
          <w:highlight w:val="yellow"/>
        </w:rPr>
        <w:t xml:space="preserve"> regarding this most recent hiring process</w:t>
      </w:r>
      <w:r w:rsidR="00092F08" w:rsidRPr="004F7347">
        <w:rPr>
          <w:highlight w:val="yellow"/>
        </w:rPr>
        <w:t xml:space="preserve"> by race/ethnicity and gende</w:t>
      </w:r>
      <w:r w:rsidR="00092F08">
        <w:t>r:</w:t>
      </w:r>
      <w:r w:rsidR="004F7347">
        <w:t xml:space="preserve">  Numbers below updated, 153 to write the above?</w:t>
      </w:r>
    </w:p>
    <w:tbl>
      <w:tblPr>
        <w:tblStyle w:val="TableGrid"/>
        <w:tblW w:w="0" w:type="auto"/>
        <w:jc w:val="center"/>
        <w:tblLook w:val="04A0" w:firstRow="1" w:lastRow="0" w:firstColumn="1" w:lastColumn="0" w:noHBand="0" w:noVBand="1"/>
      </w:tblPr>
      <w:tblGrid>
        <w:gridCol w:w="2337"/>
        <w:gridCol w:w="718"/>
        <w:gridCol w:w="900"/>
        <w:gridCol w:w="1440"/>
      </w:tblGrid>
      <w:tr w:rsidR="00092F08" w14:paraId="42AA9273" w14:textId="77777777" w:rsidTr="00092F08">
        <w:trPr>
          <w:jc w:val="center"/>
        </w:trPr>
        <w:tc>
          <w:tcPr>
            <w:tcW w:w="2337" w:type="dxa"/>
          </w:tcPr>
          <w:p w14:paraId="192FD16C" w14:textId="77777777" w:rsidR="00092F08" w:rsidRDefault="00092F08" w:rsidP="00092F08"/>
        </w:tc>
        <w:tc>
          <w:tcPr>
            <w:tcW w:w="718" w:type="dxa"/>
          </w:tcPr>
          <w:p w14:paraId="5A81CCDD" w14:textId="77777777" w:rsidR="00092F08" w:rsidRDefault="00092F08" w:rsidP="00092F08">
            <w:r>
              <w:t>Male</w:t>
            </w:r>
          </w:p>
        </w:tc>
        <w:tc>
          <w:tcPr>
            <w:tcW w:w="900" w:type="dxa"/>
          </w:tcPr>
          <w:p w14:paraId="409D0FB4" w14:textId="77777777" w:rsidR="00092F08" w:rsidRDefault="00092F08" w:rsidP="00092F08">
            <w:r>
              <w:t>Female</w:t>
            </w:r>
          </w:p>
        </w:tc>
        <w:tc>
          <w:tcPr>
            <w:tcW w:w="1440" w:type="dxa"/>
          </w:tcPr>
          <w:p w14:paraId="647048ED" w14:textId="77777777" w:rsidR="00092F08" w:rsidRDefault="00092F08" w:rsidP="00092F08">
            <w:r>
              <w:t>No Response</w:t>
            </w:r>
          </w:p>
        </w:tc>
      </w:tr>
      <w:tr w:rsidR="00092F08" w14:paraId="036BD992" w14:textId="77777777" w:rsidTr="00092F08">
        <w:trPr>
          <w:jc w:val="center"/>
        </w:trPr>
        <w:tc>
          <w:tcPr>
            <w:tcW w:w="2337" w:type="dxa"/>
          </w:tcPr>
          <w:p w14:paraId="24C12444" w14:textId="77777777" w:rsidR="00092F08" w:rsidRDefault="00092F08" w:rsidP="00092F08">
            <w:r>
              <w:t>American Indian</w:t>
            </w:r>
          </w:p>
        </w:tc>
        <w:tc>
          <w:tcPr>
            <w:tcW w:w="718" w:type="dxa"/>
          </w:tcPr>
          <w:p w14:paraId="2098FA0E" w14:textId="77777777" w:rsidR="00092F08" w:rsidRDefault="00092F08" w:rsidP="00092F08">
            <w:r>
              <w:t>0</w:t>
            </w:r>
          </w:p>
        </w:tc>
        <w:tc>
          <w:tcPr>
            <w:tcW w:w="900" w:type="dxa"/>
          </w:tcPr>
          <w:p w14:paraId="27BDAB27" w14:textId="77777777" w:rsidR="00092F08" w:rsidRDefault="00092F08" w:rsidP="00092F08">
            <w:r>
              <w:t>0</w:t>
            </w:r>
          </w:p>
        </w:tc>
        <w:tc>
          <w:tcPr>
            <w:tcW w:w="1440" w:type="dxa"/>
          </w:tcPr>
          <w:p w14:paraId="325BB642" w14:textId="77777777" w:rsidR="00092F08" w:rsidRDefault="00092F08" w:rsidP="00092F08">
            <w:r>
              <w:t>0</w:t>
            </w:r>
          </w:p>
        </w:tc>
      </w:tr>
      <w:tr w:rsidR="00092F08" w14:paraId="3AB61A4D" w14:textId="77777777" w:rsidTr="00092F08">
        <w:trPr>
          <w:jc w:val="center"/>
        </w:trPr>
        <w:tc>
          <w:tcPr>
            <w:tcW w:w="2337" w:type="dxa"/>
          </w:tcPr>
          <w:p w14:paraId="5B86767A" w14:textId="77777777" w:rsidR="00092F08" w:rsidRDefault="00092F08" w:rsidP="00092F08">
            <w:r>
              <w:t>Asian American</w:t>
            </w:r>
          </w:p>
        </w:tc>
        <w:tc>
          <w:tcPr>
            <w:tcW w:w="718" w:type="dxa"/>
          </w:tcPr>
          <w:p w14:paraId="507C0840" w14:textId="5486BDF3" w:rsidR="00092F08" w:rsidRDefault="00263A60" w:rsidP="00092F08">
            <w:r>
              <w:t>3</w:t>
            </w:r>
          </w:p>
        </w:tc>
        <w:tc>
          <w:tcPr>
            <w:tcW w:w="900" w:type="dxa"/>
          </w:tcPr>
          <w:p w14:paraId="41556899" w14:textId="77777777" w:rsidR="00092F08" w:rsidRDefault="00D9419D" w:rsidP="00092F08">
            <w:r>
              <w:t>0</w:t>
            </w:r>
          </w:p>
        </w:tc>
        <w:tc>
          <w:tcPr>
            <w:tcW w:w="1440" w:type="dxa"/>
          </w:tcPr>
          <w:p w14:paraId="049A9E43" w14:textId="77777777" w:rsidR="00092F08" w:rsidRDefault="00092F08" w:rsidP="00092F08">
            <w:r>
              <w:t>0</w:t>
            </w:r>
          </w:p>
        </w:tc>
      </w:tr>
      <w:tr w:rsidR="00092F08" w14:paraId="55284A8B" w14:textId="77777777" w:rsidTr="00092F08">
        <w:trPr>
          <w:jc w:val="center"/>
        </w:trPr>
        <w:tc>
          <w:tcPr>
            <w:tcW w:w="2337" w:type="dxa"/>
          </w:tcPr>
          <w:p w14:paraId="771BCB05" w14:textId="77777777" w:rsidR="00092F08" w:rsidRDefault="00092F08" w:rsidP="00092F08">
            <w:r>
              <w:t>Black/African American</w:t>
            </w:r>
          </w:p>
        </w:tc>
        <w:tc>
          <w:tcPr>
            <w:tcW w:w="718" w:type="dxa"/>
          </w:tcPr>
          <w:p w14:paraId="004870DD" w14:textId="6944B887" w:rsidR="00092F08" w:rsidRDefault="00263A60" w:rsidP="00092F08">
            <w:r>
              <w:t>30</w:t>
            </w:r>
          </w:p>
        </w:tc>
        <w:tc>
          <w:tcPr>
            <w:tcW w:w="900" w:type="dxa"/>
          </w:tcPr>
          <w:p w14:paraId="761E6D14" w14:textId="0F63CD50" w:rsidR="00092F08" w:rsidRDefault="00263A60" w:rsidP="00092F08">
            <w:r>
              <w:t>4</w:t>
            </w:r>
          </w:p>
        </w:tc>
        <w:tc>
          <w:tcPr>
            <w:tcW w:w="1440" w:type="dxa"/>
          </w:tcPr>
          <w:p w14:paraId="084B8B36" w14:textId="74D46F5B" w:rsidR="00092F08" w:rsidRDefault="00263A60" w:rsidP="00092F08">
            <w:r>
              <w:t>1</w:t>
            </w:r>
          </w:p>
        </w:tc>
      </w:tr>
      <w:tr w:rsidR="00092F08" w14:paraId="70C7BEA9" w14:textId="77777777" w:rsidTr="00092F08">
        <w:trPr>
          <w:jc w:val="center"/>
        </w:trPr>
        <w:tc>
          <w:tcPr>
            <w:tcW w:w="2337" w:type="dxa"/>
          </w:tcPr>
          <w:p w14:paraId="05C08B9E" w14:textId="77777777" w:rsidR="00092F08" w:rsidRDefault="00092F08" w:rsidP="00092F08">
            <w:r>
              <w:t>Hispanic/Latino</w:t>
            </w:r>
          </w:p>
        </w:tc>
        <w:tc>
          <w:tcPr>
            <w:tcW w:w="718" w:type="dxa"/>
          </w:tcPr>
          <w:p w14:paraId="46B8ED10" w14:textId="7094983C" w:rsidR="00092F08" w:rsidRDefault="00263A60" w:rsidP="00092F08">
            <w:r>
              <w:t>38</w:t>
            </w:r>
          </w:p>
        </w:tc>
        <w:tc>
          <w:tcPr>
            <w:tcW w:w="900" w:type="dxa"/>
          </w:tcPr>
          <w:p w14:paraId="3F6B4F49" w14:textId="15D403A6" w:rsidR="00092F08" w:rsidRDefault="00263A60" w:rsidP="00092F08">
            <w:r>
              <w:t>12</w:t>
            </w:r>
          </w:p>
        </w:tc>
        <w:tc>
          <w:tcPr>
            <w:tcW w:w="1440" w:type="dxa"/>
          </w:tcPr>
          <w:p w14:paraId="12CD8082" w14:textId="77777777" w:rsidR="00092F08" w:rsidRDefault="00092F08" w:rsidP="00092F08">
            <w:r>
              <w:t>0</w:t>
            </w:r>
          </w:p>
        </w:tc>
      </w:tr>
      <w:tr w:rsidR="00092F08" w14:paraId="1D449CAA" w14:textId="77777777" w:rsidTr="00092F08">
        <w:trPr>
          <w:jc w:val="center"/>
        </w:trPr>
        <w:tc>
          <w:tcPr>
            <w:tcW w:w="2337" w:type="dxa"/>
          </w:tcPr>
          <w:p w14:paraId="39EA4584" w14:textId="77777777" w:rsidR="00092F08" w:rsidRDefault="00092F08" w:rsidP="00092F08">
            <w:r>
              <w:t>White/Caucasian</w:t>
            </w:r>
          </w:p>
        </w:tc>
        <w:tc>
          <w:tcPr>
            <w:tcW w:w="718" w:type="dxa"/>
          </w:tcPr>
          <w:p w14:paraId="6B79B6FC" w14:textId="62DD9841" w:rsidR="00092F08" w:rsidRDefault="00263A60" w:rsidP="00092F08">
            <w:r>
              <w:t>66</w:t>
            </w:r>
          </w:p>
        </w:tc>
        <w:tc>
          <w:tcPr>
            <w:tcW w:w="900" w:type="dxa"/>
          </w:tcPr>
          <w:p w14:paraId="376DE02D" w14:textId="6066816A" w:rsidR="00092F08" w:rsidRDefault="00263A60" w:rsidP="00092F08">
            <w:r>
              <w:t>13</w:t>
            </w:r>
          </w:p>
        </w:tc>
        <w:tc>
          <w:tcPr>
            <w:tcW w:w="1440" w:type="dxa"/>
          </w:tcPr>
          <w:p w14:paraId="0D3DF74A" w14:textId="5A328311" w:rsidR="00092F08" w:rsidRDefault="00263A60" w:rsidP="00092F08">
            <w:r>
              <w:t>0</w:t>
            </w:r>
          </w:p>
        </w:tc>
      </w:tr>
      <w:tr w:rsidR="00092F08" w14:paraId="3C7E4315" w14:textId="77777777" w:rsidTr="00092F08">
        <w:trPr>
          <w:jc w:val="center"/>
        </w:trPr>
        <w:tc>
          <w:tcPr>
            <w:tcW w:w="2337" w:type="dxa"/>
          </w:tcPr>
          <w:p w14:paraId="6C3AE3DF" w14:textId="77777777" w:rsidR="00092F08" w:rsidRDefault="00092F08" w:rsidP="00092F08">
            <w:r>
              <w:t>Other</w:t>
            </w:r>
          </w:p>
        </w:tc>
        <w:tc>
          <w:tcPr>
            <w:tcW w:w="718" w:type="dxa"/>
          </w:tcPr>
          <w:p w14:paraId="2A44D21B" w14:textId="11601D2E" w:rsidR="00092F08" w:rsidRDefault="00263A60" w:rsidP="00092F08">
            <w:r>
              <w:t>6</w:t>
            </w:r>
          </w:p>
        </w:tc>
        <w:tc>
          <w:tcPr>
            <w:tcW w:w="900" w:type="dxa"/>
          </w:tcPr>
          <w:p w14:paraId="2D3D2575" w14:textId="198D5E7D" w:rsidR="00092F08" w:rsidRDefault="00263A60" w:rsidP="00092F08">
            <w:r>
              <w:t>1</w:t>
            </w:r>
          </w:p>
        </w:tc>
        <w:tc>
          <w:tcPr>
            <w:tcW w:w="1440" w:type="dxa"/>
          </w:tcPr>
          <w:p w14:paraId="1DD2D691" w14:textId="77777777" w:rsidR="00092F08" w:rsidRDefault="00092F08" w:rsidP="00092F08">
            <w:r>
              <w:t>0</w:t>
            </w:r>
          </w:p>
        </w:tc>
      </w:tr>
      <w:tr w:rsidR="00092F08" w14:paraId="7A5B3238" w14:textId="77777777" w:rsidTr="00092F08">
        <w:trPr>
          <w:jc w:val="center"/>
        </w:trPr>
        <w:tc>
          <w:tcPr>
            <w:tcW w:w="2337" w:type="dxa"/>
          </w:tcPr>
          <w:p w14:paraId="52E03E44" w14:textId="77777777" w:rsidR="00092F08" w:rsidRDefault="00092F08" w:rsidP="00092F08">
            <w:r>
              <w:t>No Response</w:t>
            </w:r>
          </w:p>
        </w:tc>
        <w:tc>
          <w:tcPr>
            <w:tcW w:w="718" w:type="dxa"/>
          </w:tcPr>
          <w:p w14:paraId="7FC19509" w14:textId="30A8D642" w:rsidR="00092F08" w:rsidRDefault="00263A60" w:rsidP="00092F08">
            <w:r>
              <w:t>0</w:t>
            </w:r>
          </w:p>
        </w:tc>
        <w:tc>
          <w:tcPr>
            <w:tcW w:w="900" w:type="dxa"/>
          </w:tcPr>
          <w:p w14:paraId="407F6E69" w14:textId="55B1E21E" w:rsidR="00092F08" w:rsidRDefault="00263A60" w:rsidP="00092F08">
            <w:r>
              <w:t>0</w:t>
            </w:r>
          </w:p>
        </w:tc>
        <w:tc>
          <w:tcPr>
            <w:tcW w:w="1440" w:type="dxa"/>
          </w:tcPr>
          <w:p w14:paraId="73BB7A99" w14:textId="3D58565A" w:rsidR="00092F08" w:rsidRDefault="00263A60" w:rsidP="00092F08">
            <w:r>
              <w:t>2</w:t>
            </w:r>
          </w:p>
        </w:tc>
      </w:tr>
    </w:tbl>
    <w:p w14:paraId="51C4E84C" w14:textId="10D2C3B3" w:rsidR="0040176B" w:rsidRDefault="0040176B" w:rsidP="00092F08"/>
    <w:sectPr w:rsidR="0040176B" w:rsidSect="00C673DB">
      <w:headerReference w:type="default" r:id="rId7"/>
      <w:footerReference w:type="default" r:id="rId8"/>
      <w:pgSz w:w="12240" w:h="15840"/>
      <w:pgMar w:top="1958" w:right="1080" w:bottom="80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DD6AB" w14:textId="77777777" w:rsidR="00767937" w:rsidRDefault="00767937" w:rsidP="00C673DB">
      <w:pPr>
        <w:spacing w:after="0" w:line="240" w:lineRule="auto"/>
      </w:pPr>
      <w:r>
        <w:separator/>
      </w:r>
    </w:p>
  </w:endnote>
  <w:endnote w:type="continuationSeparator" w:id="0">
    <w:p w14:paraId="5D8E1AEC" w14:textId="77777777" w:rsidR="00767937" w:rsidRDefault="00767937" w:rsidP="00C67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GroteskBE-XBdCn">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2530" w14:textId="77777777" w:rsidR="00C673DB" w:rsidRPr="00C673DB" w:rsidRDefault="00C673DB">
    <w:pPr>
      <w:pStyle w:val="Footer"/>
      <w:rPr>
        <w:rFonts w:ascii="Arial" w:hAnsi="Arial" w:cs="Arial"/>
        <w:sz w:val="15"/>
        <w:szCs w:val="15"/>
      </w:rPr>
    </w:pPr>
    <w:r w:rsidRPr="00C673DB">
      <w:rPr>
        <w:rStyle w:val="Footer-BoldBlueText-BuildingName"/>
        <w:rFonts w:cs="Arial"/>
        <w:szCs w:val="15"/>
      </w:rPr>
      <w:t xml:space="preserve">Police </w:t>
    </w:r>
    <w:r w:rsidR="00675F51" w:rsidRPr="00C673DB">
      <w:rPr>
        <w:rStyle w:val="Footer-BoldBlueText-BuildingName"/>
        <w:rFonts w:cs="Arial"/>
        <w:szCs w:val="15"/>
      </w:rPr>
      <w:t>Department</w:t>
    </w:r>
    <w:r w:rsidR="00675F51" w:rsidRPr="00C673DB">
      <w:rPr>
        <w:rFonts w:ascii="Arial" w:hAnsi="Arial" w:cs="Arial"/>
        <w:bCs/>
        <w:color w:val="2D9EFF"/>
        <w:sz w:val="15"/>
        <w:szCs w:val="15"/>
      </w:rPr>
      <w:t xml:space="preserve"> 151</w:t>
    </w:r>
    <w:r w:rsidRPr="00C673DB">
      <w:rPr>
        <w:rFonts w:ascii="Arial" w:hAnsi="Arial" w:cs="Arial"/>
        <w:color w:val="293E1A"/>
        <w:sz w:val="15"/>
        <w:szCs w:val="15"/>
      </w:rPr>
      <w:t xml:space="preserve"> Sand Hill Road, South Windsor, CT  06074</w:t>
    </w:r>
    <w:r w:rsidRPr="00C673DB">
      <w:rPr>
        <w:rFonts w:ascii="Arial" w:hAnsi="Arial" w:cs="Arial"/>
        <w:sz w:val="15"/>
        <w:szCs w:val="15"/>
      </w:rPr>
      <w:t xml:space="preserve">   </w:t>
    </w:r>
    <w:r w:rsidRPr="00C673DB">
      <w:rPr>
        <w:rStyle w:val="Footer-BlueDivider"/>
        <w:rFonts w:cs="Arial"/>
        <w:color w:val="385623" w:themeColor="accent6" w:themeShade="80"/>
        <w:szCs w:val="15"/>
      </w:rPr>
      <w:t>|</w:t>
    </w:r>
    <w:r w:rsidRPr="00C673DB">
      <w:rPr>
        <w:rFonts w:ascii="Arial" w:hAnsi="Arial" w:cs="Arial"/>
        <w:color w:val="385623" w:themeColor="accent6" w:themeShade="80"/>
        <w:sz w:val="15"/>
        <w:szCs w:val="15"/>
      </w:rPr>
      <w:t xml:space="preserve">   </w:t>
    </w:r>
    <w:r w:rsidRPr="00C673DB">
      <w:rPr>
        <w:rFonts w:ascii="Arial" w:hAnsi="Arial" w:cs="Arial"/>
        <w:color w:val="273C18"/>
        <w:sz w:val="15"/>
        <w:szCs w:val="15"/>
      </w:rPr>
      <w:t>Tel (860) 648-6202</w:t>
    </w:r>
    <w:r w:rsidRPr="00C673DB">
      <w:rPr>
        <w:rFonts w:ascii="Arial" w:hAnsi="Arial" w:cs="Arial"/>
        <w:color w:val="385623" w:themeColor="accent6" w:themeShade="80"/>
        <w:sz w:val="15"/>
        <w:szCs w:val="15"/>
      </w:rPr>
      <w:t xml:space="preserve">   </w:t>
    </w:r>
    <w:r w:rsidRPr="00C673DB">
      <w:rPr>
        <w:rStyle w:val="Footer-BlueDivider"/>
        <w:rFonts w:cs="Arial"/>
        <w:szCs w:val="15"/>
      </w:rPr>
      <w:t xml:space="preserve">|  </w:t>
    </w:r>
    <w:r w:rsidRPr="00C673DB">
      <w:rPr>
        <w:rFonts w:ascii="Arial" w:hAnsi="Arial" w:cs="Arial"/>
        <w:sz w:val="15"/>
        <w:szCs w:val="15"/>
      </w:rPr>
      <w:t xml:space="preserve"> </w:t>
    </w:r>
    <w:r w:rsidRPr="00C673DB">
      <w:rPr>
        <w:rFonts w:ascii="Arial" w:hAnsi="Arial" w:cs="Arial"/>
        <w:color w:val="293E1A"/>
        <w:sz w:val="15"/>
        <w:szCs w:val="15"/>
      </w:rPr>
      <w:t>Kristian.Lindstrom@SouthWindsor-CT.gov</w:t>
    </w:r>
    <w:r w:rsidRPr="00C673DB">
      <w:rPr>
        <w:rFonts w:ascii="Arial" w:hAnsi="Arial" w:cs="Arial"/>
        <w:b/>
        <w:bCs/>
        <w:noProof/>
        <w:color w:val="293E1A"/>
        <w:sz w:val="15"/>
        <w:szCs w:val="15"/>
      </w:rPr>
      <w:t xml:space="preserve"> </w:t>
    </w:r>
    <w:r w:rsidRPr="00C673DB">
      <w:rPr>
        <w:rFonts w:ascii="Arial" w:hAnsi="Arial" w:cs="Arial"/>
        <w:b/>
        <w:bCs/>
        <w:noProof/>
        <w:color w:val="207BB3"/>
        <w:sz w:val="15"/>
        <w:szCs w:val="15"/>
      </w:rPr>
      <w:drawing>
        <wp:anchor distT="0" distB="0" distL="114300" distR="114300" simplePos="0" relativeHeight="251661312" behindDoc="0" locked="1" layoutInCell="1" allowOverlap="1" wp14:anchorId="40F0474E" wp14:editId="5CEC4537">
          <wp:simplePos x="0" y="0"/>
          <wp:positionH relativeFrom="leftMargin">
            <wp:align>right</wp:align>
          </wp:positionH>
          <wp:positionV relativeFrom="margin">
            <wp:posOffset>7423150</wp:posOffset>
          </wp:positionV>
          <wp:extent cx="685800" cy="80454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_seal_color_slogan_SML_1.125.jpg"/>
                  <pic:cNvPicPr/>
                </pic:nvPicPr>
                <pic:blipFill>
                  <a:blip r:embed="rId1">
                    <a:extLst>
                      <a:ext uri="{28A0092B-C50C-407E-A947-70E740481C1C}">
                        <a14:useLocalDpi xmlns:a14="http://schemas.microsoft.com/office/drawing/2010/main" val="0"/>
                      </a:ext>
                    </a:extLst>
                  </a:blip>
                  <a:stretch>
                    <a:fillRect/>
                  </a:stretch>
                </pic:blipFill>
                <pic:spPr>
                  <a:xfrm>
                    <a:off x="0" y="0"/>
                    <a:ext cx="685800" cy="8045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EBE5E" w14:textId="77777777" w:rsidR="00767937" w:rsidRDefault="00767937" w:rsidP="00C673DB">
      <w:pPr>
        <w:spacing w:after="0" w:line="240" w:lineRule="auto"/>
      </w:pPr>
      <w:r>
        <w:separator/>
      </w:r>
    </w:p>
  </w:footnote>
  <w:footnote w:type="continuationSeparator" w:id="0">
    <w:p w14:paraId="60D0CAF4" w14:textId="77777777" w:rsidR="00767937" w:rsidRDefault="00767937" w:rsidP="00C67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2676" w14:textId="77777777" w:rsidR="00C673DB" w:rsidRPr="00C3131F" w:rsidRDefault="00C673DB" w:rsidP="00C673DB">
    <w:pPr>
      <w:pStyle w:val="NameofEmployeeinHeader"/>
    </w:pPr>
    <w:r>
      <w:t>Kristian R. Lindstrom</w:t>
    </w:r>
  </w:p>
  <w:p w14:paraId="681B70A1" w14:textId="77777777" w:rsidR="00C673DB" w:rsidRPr="00C3131F" w:rsidRDefault="00C673DB" w:rsidP="00C673DB">
    <w:pPr>
      <w:pStyle w:val="JobTitleinHeader"/>
    </w:pPr>
    <w:r>
      <w:t>Chief of Police</w:t>
    </w:r>
  </w:p>
  <w:p w14:paraId="7FBCC2C0" w14:textId="77777777" w:rsidR="00C673DB" w:rsidRDefault="00C673DB">
    <w:pPr>
      <w:pStyle w:val="Header"/>
    </w:pPr>
    <w:r>
      <w:rPr>
        <w:noProof/>
      </w:rPr>
      <w:drawing>
        <wp:anchor distT="0" distB="0" distL="114300" distR="114300" simplePos="0" relativeHeight="251659264" behindDoc="1" locked="1" layoutInCell="1" allowOverlap="0" wp14:anchorId="776C8844" wp14:editId="19B49CCE">
          <wp:simplePos x="0" y="0"/>
          <wp:positionH relativeFrom="page">
            <wp:posOffset>175260</wp:posOffset>
          </wp:positionH>
          <wp:positionV relativeFrom="page">
            <wp:posOffset>243840</wp:posOffset>
          </wp:positionV>
          <wp:extent cx="2294890" cy="2980690"/>
          <wp:effectExtent l="0" t="0" r="3810" b="3810"/>
          <wp:wrapNone/>
          <wp:docPr id="7" name="Picture 7" descr="SWCT 06074 Logo Letterhead &#10;Ar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WCT_06074-01.p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294890" cy="29806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903D4"/>
    <w:multiLevelType w:val="hybridMultilevel"/>
    <w:tmpl w:val="F72A9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5262F16"/>
    <w:multiLevelType w:val="hybridMultilevel"/>
    <w:tmpl w:val="1A5C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6D080F"/>
    <w:multiLevelType w:val="hybridMultilevel"/>
    <w:tmpl w:val="A104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D4086E"/>
    <w:multiLevelType w:val="hybridMultilevel"/>
    <w:tmpl w:val="471C6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4503D1"/>
    <w:multiLevelType w:val="hybridMultilevel"/>
    <w:tmpl w:val="30464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9024655">
    <w:abstractNumId w:val="3"/>
  </w:num>
  <w:num w:numId="2" w16cid:durableId="1554972944">
    <w:abstractNumId w:val="0"/>
  </w:num>
  <w:num w:numId="3" w16cid:durableId="1815877487">
    <w:abstractNumId w:val="2"/>
  </w:num>
  <w:num w:numId="4" w16cid:durableId="1622958526">
    <w:abstractNumId w:val="1"/>
  </w:num>
  <w:num w:numId="5" w16cid:durableId="1732072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3DB"/>
    <w:rsid w:val="00041AF3"/>
    <w:rsid w:val="00087D75"/>
    <w:rsid w:val="00090BF3"/>
    <w:rsid w:val="000913E4"/>
    <w:rsid w:val="0009285D"/>
    <w:rsid w:val="00092F08"/>
    <w:rsid w:val="000A0343"/>
    <w:rsid w:val="000A777B"/>
    <w:rsid w:val="000D3726"/>
    <w:rsid w:val="001046A1"/>
    <w:rsid w:val="001A316F"/>
    <w:rsid w:val="001D2E6F"/>
    <w:rsid w:val="001E7E60"/>
    <w:rsid w:val="002000E5"/>
    <w:rsid w:val="00201734"/>
    <w:rsid w:val="002024FB"/>
    <w:rsid w:val="00230592"/>
    <w:rsid w:val="00263A60"/>
    <w:rsid w:val="002F651F"/>
    <w:rsid w:val="0031202C"/>
    <w:rsid w:val="003453B4"/>
    <w:rsid w:val="0040176B"/>
    <w:rsid w:val="00423133"/>
    <w:rsid w:val="00430559"/>
    <w:rsid w:val="004414A3"/>
    <w:rsid w:val="00497C0F"/>
    <w:rsid w:val="004A163A"/>
    <w:rsid w:val="004A2B15"/>
    <w:rsid w:val="004E2898"/>
    <w:rsid w:val="004F7347"/>
    <w:rsid w:val="00534C3E"/>
    <w:rsid w:val="005B080E"/>
    <w:rsid w:val="005E0A7D"/>
    <w:rsid w:val="00621139"/>
    <w:rsid w:val="00661410"/>
    <w:rsid w:val="00675F51"/>
    <w:rsid w:val="00686C1D"/>
    <w:rsid w:val="006B27E4"/>
    <w:rsid w:val="006C7AC2"/>
    <w:rsid w:val="006D221A"/>
    <w:rsid w:val="006F51CA"/>
    <w:rsid w:val="007428E8"/>
    <w:rsid w:val="00767937"/>
    <w:rsid w:val="00774C50"/>
    <w:rsid w:val="007E0DAC"/>
    <w:rsid w:val="007E3ACF"/>
    <w:rsid w:val="0081319D"/>
    <w:rsid w:val="00874BD7"/>
    <w:rsid w:val="00897402"/>
    <w:rsid w:val="008A4CD6"/>
    <w:rsid w:val="008F6BAB"/>
    <w:rsid w:val="0090402D"/>
    <w:rsid w:val="00913991"/>
    <w:rsid w:val="00917780"/>
    <w:rsid w:val="0097411E"/>
    <w:rsid w:val="009764B8"/>
    <w:rsid w:val="009E5BC3"/>
    <w:rsid w:val="00A162E5"/>
    <w:rsid w:val="00A47F19"/>
    <w:rsid w:val="00A7095F"/>
    <w:rsid w:val="00A76B31"/>
    <w:rsid w:val="00A91664"/>
    <w:rsid w:val="00B12516"/>
    <w:rsid w:val="00C27A8F"/>
    <w:rsid w:val="00C3611B"/>
    <w:rsid w:val="00C422BB"/>
    <w:rsid w:val="00C673DB"/>
    <w:rsid w:val="00C67D32"/>
    <w:rsid w:val="00CD714E"/>
    <w:rsid w:val="00D72576"/>
    <w:rsid w:val="00D9419D"/>
    <w:rsid w:val="00DA6F5C"/>
    <w:rsid w:val="00F26171"/>
    <w:rsid w:val="00FF3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28B7E"/>
  <w15:chartTrackingRefBased/>
  <w15:docId w15:val="{BDB07A6F-7F3A-499B-A66B-29172D74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3DB"/>
  </w:style>
  <w:style w:type="paragraph" w:styleId="Footer">
    <w:name w:val="footer"/>
    <w:basedOn w:val="Normal"/>
    <w:link w:val="FooterChar"/>
    <w:uiPriority w:val="99"/>
    <w:unhideWhenUsed/>
    <w:rsid w:val="00C67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3DB"/>
  </w:style>
  <w:style w:type="paragraph" w:customStyle="1" w:styleId="NameofEmployeeinHeader">
    <w:name w:val="Name of Employee in Header"/>
    <w:next w:val="JobTitleinHeader"/>
    <w:qFormat/>
    <w:rsid w:val="00C673DB"/>
    <w:pPr>
      <w:autoSpaceDE w:val="0"/>
      <w:autoSpaceDN w:val="0"/>
      <w:adjustRightInd w:val="0"/>
      <w:spacing w:after="0" w:line="288" w:lineRule="auto"/>
      <w:jc w:val="right"/>
      <w:textAlignment w:val="center"/>
    </w:pPr>
    <w:rPr>
      <w:rFonts w:ascii="Arial" w:hAnsi="Arial" w:cs="AkzidenzGroteskBE-XBdCn"/>
      <w:b/>
      <w:bCs/>
      <w:color w:val="19453D"/>
      <w:sz w:val="20"/>
      <w:szCs w:val="20"/>
    </w:rPr>
  </w:style>
  <w:style w:type="paragraph" w:customStyle="1" w:styleId="JobTitleinHeader">
    <w:name w:val="Job Title in Header"/>
    <w:qFormat/>
    <w:rsid w:val="00C673DB"/>
    <w:pPr>
      <w:spacing w:after="0" w:line="240" w:lineRule="auto"/>
      <w:jc w:val="right"/>
    </w:pPr>
    <w:rPr>
      <w:rFonts w:ascii="Arial" w:hAnsi="Arial" w:cs="AkzidenzGroteskBE-XBdCn"/>
      <w:b/>
      <w:bCs/>
      <w:color w:val="207BB3"/>
      <w:sz w:val="20"/>
      <w:szCs w:val="20"/>
    </w:rPr>
  </w:style>
  <w:style w:type="character" w:customStyle="1" w:styleId="Footer-BoldBlueText-BuildingName">
    <w:name w:val="Footer - Bold Blue Text - Building Name"/>
    <w:uiPriority w:val="1"/>
    <w:qFormat/>
    <w:rsid w:val="00C673DB"/>
    <w:rPr>
      <w:rFonts w:ascii="Arial" w:hAnsi="Arial" w:cs="AkzidenzGroteskBE-XBdCn"/>
      <w:b/>
      <w:bCs/>
      <w:i w:val="0"/>
      <w:color w:val="207BB3"/>
      <w:sz w:val="15"/>
      <w:szCs w:val="18"/>
    </w:rPr>
  </w:style>
  <w:style w:type="character" w:customStyle="1" w:styleId="Footer-BlueDivider">
    <w:name w:val="Footer - Blue Divider"/>
    <w:basedOn w:val="DefaultParagraphFont"/>
    <w:uiPriority w:val="1"/>
    <w:qFormat/>
    <w:rsid w:val="00C673DB"/>
    <w:rPr>
      <w:rFonts w:ascii="Arial" w:hAnsi="Arial"/>
      <w:b w:val="0"/>
      <w:i w:val="0"/>
      <w:color w:val="207BB3"/>
      <w:sz w:val="15"/>
    </w:rPr>
  </w:style>
  <w:style w:type="paragraph" w:styleId="BalloonText">
    <w:name w:val="Balloon Text"/>
    <w:basedOn w:val="Normal"/>
    <w:link w:val="BalloonTextChar"/>
    <w:uiPriority w:val="99"/>
    <w:semiHidden/>
    <w:unhideWhenUsed/>
    <w:rsid w:val="00C67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3DB"/>
    <w:rPr>
      <w:rFonts w:ascii="Segoe UI" w:hAnsi="Segoe UI" w:cs="Segoe UI"/>
      <w:sz w:val="18"/>
      <w:szCs w:val="18"/>
    </w:rPr>
  </w:style>
  <w:style w:type="paragraph" w:styleId="ListParagraph">
    <w:name w:val="List Paragraph"/>
    <w:basedOn w:val="Normal"/>
    <w:uiPriority w:val="34"/>
    <w:qFormat/>
    <w:rsid w:val="000A0343"/>
    <w:pPr>
      <w:ind w:left="720"/>
      <w:contextualSpacing/>
    </w:pPr>
  </w:style>
  <w:style w:type="character" w:styleId="Hyperlink">
    <w:name w:val="Hyperlink"/>
    <w:basedOn w:val="DefaultParagraphFont"/>
    <w:uiPriority w:val="99"/>
    <w:unhideWhenUsed/>
    <w:rsid w:val="00430559"/>
    <w:rPr>
      <w:color w:val="0563C1" w:themeColor="hyperlink"/>
      <w:u w:val="single"/>
    </w:rPr>
  </w:style>
  <w:style w:type="table" w:styleId="TableGrid">
    <w:name w:val="Table Grid"/>
    <w:basedOn w:val="TableNormal"/>
    <w:uiPriority w:val="39"/>
    <w:rsid w:val="00092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040784">
      <w:bodyDiv w:val="1"/>
      <w:marLeft w:val="0"/>
      <w:marRight w:val="0"/>
      <w:marTop w:val="0"/>
      <w:marBottom w:val="0"/>
      <w:divBdr>
        <w:top w:val="none" w:sz="0" w:space="0" w:color="auto"/>
        <w:left w:val="none" w:sz="0" w:space="0" w:color="auto"/>
        <w:bottom w:val="none" w:sz="0" w:space="0" w:color="auto"/>
        <w:right w:val="none" w:sz="0" w:space="0" w:color="auto"/>
      </w:divBdr>
    </w:div>
    <w:div w:id="39146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906</Words>
  <Characters>4750</Characters>
  <Application>Microsoft Office Word</Application>
  <DocSecurity>0</DocSecurity>
  <Lines>139</Lines>
  <Paragraphs>71</Paragraphs>
  <ScaleCrop>false</ScaleCrop>
  <HeadingPairs>
    <vt:vector size="2" baseType="variant">
      <vt:variant>
        <vt:lpstr>Title</vt:lpstr>
      </vt:variant>
      <vt:variant>
        <vt:i4>1</vt:i4>
      </vt:variant>
    </vt:vector>
  </HeadingPairs>
  <TitlesOfParts>
    <vt:vector size="1" baseType="lpstr">
      <vt:lpstr/>
    </vt:vector>
  </TitlesOfParts>
  <Company>Town of South Windsor</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Hilton, Elizabeth</dc:creator>
  <cp:keywords/>
  <dc:description/>
  <cp:lastModifiedBy>Eckblom, Brian</cp:lastModifiedBy>
  <cp:revision>5</cp:revision>
  <cp:lastPrinted>2021-12-02T12:00:00Z</cp:lastPrinted>
  <dcterms:created xsi:type="dcterms:W3CDTF">2026-03-04T19:22:00Z</dcterms:created>
  <dcterms:modified xsi:type="dcterms:W3CDTF">2026-04-20T17:12:00Z</dcterms:modified>
</cp:coreProperties>
</file>